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D" w:rsidRDefault="00BB592D" w:rsidP="00C9295E">
      <w:pPr>
        <w:rPr>
          <w:b/>
          <w:bCs/>
          <w:sz w:val="28"/>
          <w:szCs w:val="28"/>
          <w:rtl/>
        </w:rPr>
      </w:pPr>
      <w:r w:rsidRPr="00543F39">
        <w:rPr>
          <w:rFonts w:hint="cs"/>
          <w:b/>
          <w:bCs/>
          <w:sz w:val="28"/>
          <w:szCs w:val="28"/>
          <w:rtl/>
        </w:rPr>
        <w:t>פרוטוקול ישיבת תת הוועדה הארצית לקיטלוג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="00C9295E">
        <w:rPr>
          <w:rFonts w:hint="cs"/>
          <w:b/>
          <w:bCs/>
          <w:sz w:val="28"/>
          <w:szCs w:val="28"/>
          <w:rtl/>
        </w:rPr>
        <w:t>31.10</w:t>
      </w:r>
      <w:r>
        <w:rPr>
          <w:rFonts w:hint="cs"/>
          <w:b/>
          <w:bCs/>
          <w:sz w:val="28"/>
          <w:szCs w:val="28"/>
          <w:rtl/>
        </w:rPr>
        <w:t xml:space="preserve">.2012, </w:t>
      </w:r>
      <w:r w:rsidR="00C9295E">
        <w:rPr>
          <w:rFonts w:hint="cs"/>
          <w:b/>
          <w:bCs/>
          <w:sz w:val="28"/>
          <w:szCs w:val="28"/>
          <w:rtl/>
        </w:rPr>
        <w:t>תל אביב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B592D" w:rsidRDefault="00BB592D" w:rsidP="00220C21">
      <w:pPr>
        <w:rPr>
          <w:b/>
          <w:bCs/>
          <w:sz w:val="28"/>
          <w:szCs w:val="28"/>
          <w:rtl/>
        </w:rPr>
      </w:pPr>
    </w:p>
    <w:p w:rsidR="00BB592D" w:rsidRDefault="00BB592D" w:rsidP="00383E02">
      <w:pPr>
        <w:rPr>
          <w:rtl/>
        </w:rPr>
      </w:pPr>
      <w:r>
        <w:rPr>
          <w:rFonts w:hint="cs"/>
          <w:rtl/>
        </w:rPr>
        <w:t xml:space="preserve">נוכחים: </w:t>
      </w:r>
      <w:r w:rsidR="00383E02">
        <w:rPr>
          <w:rFonts w:hint="cs"/>
          <w:rtl/>
        </w:rPr>
        <w:t xml:space="preserve">פרידה </w:t>
      </w:r>
      <w:proofErr w:type="spellStart"/>
      <w:r w:rsidR="00383E02">
        <w:rPr>
          <w:rFonts w:hint="cs"/>
          <w:rtl/>
        </w:rPr>
        <w:t>ולדהורן</w:t>
      </w:r>
      <w:proofErr w:type="spellEnd"/>
      <w:r w:rsidR="00C9295E">
        <w:rPr>
          <w:rFonts w:hint="cs"/>
          <w:rtl/>
        </w:rPr>
        <w:t xml:space="preserve">, שחף הגפני, תמר בלומנדל-לינק, מריאנה גלפנד, יוליה סומונוב, ורדית נצר-דורף, דורית בן-דרור,ילנה אלכסייב, </w:t>
      </w:r>
      <w:r>
        <w:rPr>
          <w:rFonts w:hint="cs"/>
          <w:rtl/>
        </w:rPr>
        <w:t xml:space="preserve">לאורה מולוקנדוב, </w:t>
      </w:r>
      <w:r w:rsidR="00C9295E">
        <w:rPr>
          <w:rFonts w:hint="cs"/>
          <w:rtl/>
        </w:rPr>
        <w:t xml:space="preserve">מיכל פנקס, </w:t>
      </w:r>
      <w:r>
        <w:rPr>
          <w:rFonts w:hint="cs"/>
          <w:rtl/>
        </w:rPr>
        <w:t xml:space="preserve">חיים סימור, </w:t>
      </w:r>
      <w:r w:rsidR="00927296">
        <w:rPr>
          <w:rFonts w:hint="cs"/>
          <w:rtl/>
        </w:rPr>
        <w:t xml:space="preserve">רוחמה ברגמן, </w:t>
      </w:r>
      <w:r w:rsidR="00C9295E">
        <w:rPr>
          <w:rFonts w:hint="cs"/>
          <w:rtl/>
        </w:rPr>
        <w:t>מאירה הראש, ירדנה לוינברג, רחל ויצמן, אלחנן אדלר, יניב לוי, תמר טוב,</w:t>
      </w:r>
      <w:r w:rsidR="00C9295E" w:rsidRPr="00BB592D">
        <w:rPr>
          <w:rFonts w:hint="cs"/>
          <w:rtl/>
        </w:rPr>
        <w:t xml:space="preserve"> </w:t>
      </w:r>
      <w:r w:rsidR="00C9295E">
        <w:rPr>
          <w:rFonts w:hint="cs"/>
          <w:rtl/>
        </w:rPr>
        <w:t xml:space="preserve">אידה להט, פרידה הדר,  גולדה סוויד, ירדנה הובר, רותי שטנגר, </w:t>
      </w:r>
      <w:r>
        <w:rPr>
          <w:rFonts w:hint="cs"/>
          <w:rtl/>
        </w:rPr>
        <w:t xml:space="preserve">פרח שליט, בלהה סירקוס, </w:t>
      </w:r>
      <w:r w:rsidR="00D02EBB">
        <w:rPr>
          <w:rFonts w:hint="cs"/>
          <w:rtl/>
        </w:rPr>
        <w:t xml:space="preserve">טירן עזרא-היימס, </w:t>
      </w:r>
      <w:r>
        <w:rPr>
          <w:rFonts w:hint="cs"/>
          <w:rtl/>
        </w:rPr>
        <w:t>ריני גולדסמית.</w:t>
      </w:r>
    </w:p>
    <w:p w:rsidR="008B7096" w:rsidRDefault="008B7096" w:rsidP="00220C21">
      <w:pPr>
        <w:rPr>
          <w:rtl/>
        </w:rPr>
      </w:pPr>
    </w:p>
    <w:p w:rsidR="008B7096" w:rsidRPr="00220C21" w:rsidRDefault="008B7096" w:rsidP="00220C2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20C21">
        <w:rPr>
          <w:rFonts w:hint="cs"/>
          <w:b/>
          <w:bCs/>
          <w:u w:val="single"/>
          <w:rtl/>
        </w:rPr>
        <w:t>איחוד זהויות לרשומה אחת: אישים</w:t>
      </w:r>
      <w:r w:rsidR="005B14D3">
        <w:rPr>
          <w:rFonts w:hint="cs"/>
          <w:b/>
          <w:bCs/>
          <w:u w:val="single"/>
          <w:rtl/>
        </w:rPr>
        <w:t>/תאגידים</w:t>
      </w:r>
    </w:p>
    <w:p w:rsidR="008B7096" w:rsidRDefault="008B7096" w:rsidP="00760CAC">
      <w:pPr>
        <w:pStyle w:val="ListParagraph"/>
        <w:rPr>
          <w:rtl/>
        </w:rPr>
      </w:pPr>
      <w:r>
        <w:rPr>
          <w:rFonts w:hint="cs"/>
          <w:rtl/>
        </w:rPr>
        <w:t xml:space="preserve">יניב לוי, ראש אגף התהליכים בספרייה הלאומית </w:t>
      </w:r>
      <w:r w:rsidR="00760CAC">
        <w:rPr>
          <w:rFonts w:hint="cs"/>
          <w:rtl/>
        </w:rPr>
        <w:t>דיווח על התקדמות</w:t>
      </w:r>
      <w:r>
        <w:rPr>
          <w:rFonts w:hint="cs"/>
          <w:rtl/>
        </w:rPr>
        <w:t xml:space="preserve"> </w:t>
      </w:r>
      <w:r w:rsidR="00760CAC">
        <w:rPr>
          <w:rFonts w:hint="cs"/>
          <w:rtl/>
        </w:rPr>
        <w:t>ב</w:t>
      </w:r>
      <w:r>
        <w:rPr>
          <w:rFonts w:hint="cs"/>
          <w:rtl/>
        </w:rPr>
        <w:t>פרויקט לאיחוד זהויות אישים</w:t>
      </w:r>
      <w:r w:rsidR="00760CAC">
        <w:rPr>
          <w:rFonts w:hint="cs"/>
          <w:rtl/>
        </w:rPr>
        <w:t>/תאגידים</w:t>
      </w:r>
      <w:r>
        <w:rPr>
          <w:rFonts w:hint="cs"/>
          <w:rtl/>
        </w:rPr>
        <w:t xml:space="preserve"> לרשומה אחת. </w:t>
      </w:r>
      <w:r w:rsidR="00760CAC">
        <w:rPr>
          <w:rFonts w:hint="cs"/>
          <w:rtl/>
        </w:rPr>
        <w:t xml:space="preserve"> </w:t>
      </w:r>
    </w:p>
    <w:p w:rsidR="001917EC" w:rsidRPr="001917EC" w:rsidRDefault="005B14D3" w:rsidP="00220C21">
      <w:pPr>
        <w:pStyle w:val="ListParagraph"/>
        <w:rPr>
          <w:b/>
          <w:bCs/>
          <w:rtl/>
        </w:rPr>
      </w:pPr>
      <w:r>
        <w:rPr>
          <w:b/>
          <w:bCs/>
        </w:rPr>
        <w:t xml:space="preserve"> </w:t>
      </w:r>
    </w:p>
    <w:p w:rsidR="001917EC" w:rsidRDefault="005B14D3" w:rsidP="005D0899">
      <w:pPr>
        <w:pStyle w:val="ListParagraph"/>
        <w:numPr>
          <w:ilvl w:val="0"/>
          <w:numId w:val="2"/>
        </w:numPr>
      </w:pPr>
      <w:r w:rsidRPr="00014167">
        <w:rPr>
          <w:rFonts w:hint="cs"/>
          <w:rtl/>
        </w:rPr>
        <w:t>הספרייה הלאומית החלה בחודשים האחרונים</w:t>
      </w:r>
      <w:r>
        <w:rPr>
          <w:rFonts w:hint="cs"/>
          <w:rtl/>
        </w:rPr>
        <w:t xml:space="preserve"> ליצור</w:t>
      </w:r>
      <w:r w:rsidR="00014167">
        <w:rPr>
          <w:rFonts w:hint="cs"/>
          <w:rtl/>
        </w:rPr>
        <w:t xml:space="preserve"> </w:t>
      </w:r>
      <w:r>
        <w:t>multiscript authority records</w:t>
      </w:r>
      <w:r w:rsidR="001917EC">
        <w:rPr>
          <w:rFonts w:hint="cs"/>
          <w:rtl/>
        </w:rPr>
        <w:t xml:space="preserve"> </w:t>
      </w:r>
      <w:r w:rsidR="00BA1663">
        <w:rPr>
          <w:rFonts w:hint="cs"/>
          <w:rtl/>
        </w:rPr>
        <w:t>רשומ</w:t>
      </w:r>
      <w:r w:rsidR="00DE49A0">
        <w:rPr>
          <w:rFonts w:hint="cs"/>
          <w:rtl/>
        </w:rPr>
        <w:t>ת זהות</w:t>
      </w:r>
      <w:r w:rsidR="00BA1663">
        <w:rPr>
          <w:rFonts w:hint="cs"/>
          <w:rtl/>
        </w:rPr>
        <w:t xml:space="preserve"> אחת </w:t>
      </w:r>
      <w:r w:rsidR="00DE49A0">
        <w:rPr>
          <w:rFonts w:hint="cs"/>
          <w:rtl/>
        </w:rPr>
        <w:t xml:space="preserve">עם </w:t>
      </w:r>
      <w:r w:rsidR="001917EC">
        <w:rPr>
          <w:rFonts w:hint="cs"/>
          <w:rtl/>
        </w:rPr>
        <w:t xml:space="preserve">עיולים ראשיים לכל </w:t>
      </w:r>
      <w:r w:rsidR="00BA1663">
        <w:rPr>
          <w:rFonts w:hint="cs"/>
          <w:rtl/>
        </w:rPr>
        <w:t>השפות (אות עברית, לטינית, קירילית וערבית).</w:t>
      </w:r>
      <w:r w:rsidR="001917EC">
        <w:rPr>
          <w:rFonts w:hint="cs"/>
          <w:rtl/>
        </w:rPr>
        <w:t xml:space="preserve"> </w:t>
      </w:r>
      <w:r w:rsidR="00BA1663">
        <w:rPr>
          <w:rFonts w:hint="cs"/>
          <w:rtl/>
        </w:rPr>
        <w:t>מוסיפים</w:t>
      </w:r>
      <w:r>
        <w:rPr>
          <w:rFonts w:hint="cs"/>
          <w:rtl/>
        </w:rPr>
        <w:t xml:space="preserve"> תת-שדה </w:t>
      </w:r>
      <w:r>
        <w:t>$$9</w:t>
      </w:r>
      <w:r w:rsidR="00BA1663">
        <w:rPr>
          <w:rFonts w:hint="cs"/>
          <w:rtl/>
        </w:rPr>
        <w:t xml:space="preserve"> לכל שדה, </w:t>
      </w:r>
      <w:r w:rsidR="00BA1663">
        <w:t>1xx</w:t>
      </w:r>
      <w:r w:rsidR="00BA1663">
        <w:rPr>
          <w:rFonts w:hint="cs"/>
          <w:rtl/>
        </w:rPr>
        <w:t xml:space="preserve">, </w:t>
      </w:r>
      <w:r w:rsidR="00BA1663">
        <w:t>4XX</w:t>
      </w:r>
      <w:r w:rsidR="00BA1663">
        <w:rPr>
          <w:rFonts w:hint="cs"/>
          <w:rtl/>
        </w:rPr>
        <w:t xml:space="preserve">, </w:t>
      </w:r>
      <w:r w:rsidR="00BA1663">
        <w:t>5XX</w:t>
      </w:r>
      <w:r w:rsidR="00BA1663">
        <w:rPr>
          <w:rFonts w:hint="cs"/>
          <w:rtl/>
        </w:rPr>
        <w:t>,</w:t>
      </w:r>
      <w:r w:rsidR="001917EC">
        <w:rPr>
          <w:rFonts w:hint="cs"/>
          <w:rtl/>
        </w:rPr>
        <w:t xml:space="preserve"> </w:t>
      </w:r>
      <w:r w:rsidR="00220C21">
        <w:rPr>
          <w:rFonts w:hint="cs"/>
          <w:rtl/>
        </w:rPr>
        <w:t>ומקדדים בו את ה</w:t>
      </w:r>
      <w:r>
        <w:rPr>
          <w:rFonts w:hint="cs"/>
          <w:rtl/>
        </w:rPr>
        <w:t>כתיב</w:t>
      </w:r>
      <w:r w:rsidR="00DE49A0">
        <w:rPr>
          <w:rFonts w:hint="cs"/>
          <w:rtl/>
        </w:rPr>
        <w:t xml:space="preserve"> (</w:t>
      </w:r>
      <w:r>
        <w:t>(lat/heb/ara/cyr</w:t>
      </w:r>
      <w:r>
        <w:rPr>
          <w:rFonts w:hint="cs"/>
          <w:rtl/>
        </w:rPr>
        <w:t>.</w:t>
      </w:r>
      <w:r w:rsidR="00DE49A0">
        <w:rPr>
          <w:rFonts w:hint="cs"/>
          <w:rtl/>
        </w:rPr>
        <w:t xml:space="preserve"> </w:t>
      </w:r>
      <w:r w:rsidR="00D77CD7">
        <w:rPr>
          <w:rFonts w:hint="cs"/>
          <w:rtl/>
        </w:rPr>
        <w:t>הצורה הזאת מופיעה גם ברשומות הביבליוגרפיות</w:t>
      </w:r>
      <w:r w:rsidR="00AF5997">
        <w:rPr>
          <w:rFonts w:hint="cs"/>
          <w:rtl/>
        </w:rPr>
        <w:t xml:space="preserve">. </w:t>
      </w:r>
      <w:r w:rsidR="005D0899">
        <w:rPr>
          <w:rFonts w:hint="cs"/>
          <w:rtl/>
        </w:rPr>
        <w:t xml:space="preserve">השלב הראשון של </w:t>
      </w:r>
      <w:r w:rsidR="00AF5997">
        <w:rPr>
          <w:rFonts w:hint="cs"/>
          <w:rtl/>
        </w:rPr>
        <w:t xml:space="preserve">איחוד </w:t>
      </w:r>
      <w:r w:rsidR="00984623">
        <w:rPr>
          <w:rFonts w:hint="cs"/>
          <w:rtl/>
        </w:rPr>
        <w:t>הזהויות התבסס</w:t>
      </w:r>
      <w:r w:rsidR="00AF5997">
        <w:rPr>
          <w:rFonts w:hint="cs"/>
          <w:rtl/>
        </w:rPr>
        <w:t xml:space="preserve"> על מידע ש</w:t>
      </w:r>
      <w:r>
        <w:rPr>
          <w:rFonts w:hint="cs"/>
          <w:rtl/>
        </w:rPr>
        <w:t>הגיע מ-</w:t>
      </w:r>
      <w:r>
        <w:t>VIAF</w:t>
      </w:r>
      <w:r>
        <w:rPr>
          <w:rFonts w:hint="cs"/>
          <w:rtl/>
        </w:rPr>
        <w:t xml:space="preserve">. עד כה נוצרו </w:t>
      </w:r>
      <w:r w:rsidR="005D0899">
        <w:rPr>
          <w:rFonts w:hint="cs"/>
          <w:rtl/>
        </w:rPr>
        <w:t>כ- 10,000</w:t>
      </w:r>
      <w:r>
        <w:rPr>
          <w:rFonts w:hint="cs"/>
          <w:rtl/>
        </w:rPr>
        <w:t xml:space="preserve"> רשומות מאוחדות. </w:t>
      </w:r>
      <w:r w:rsidR="00AF5997">
        <w:rPr>
          <w:rFonts w:hint="cs"/>
          <w:rtl/>
        </w:rPr>
        <w:t xml:space="preserve">התהליך הוא </w:t>
      </w:r>
      <w:r w:rsidR="00AF5997" w:rsidRPr="00984623">
        <w:rPr>
          <w:rFonts w:ascii="Tahoma" w:hAnsi="Tahoma" w:cs="Tahoma"/>
          <w:sz w:val="20"/>
          <w:szCs w:val="20"/>
          <w:rtl/>
        </w:rPr>
        <w:t>הדרגתי</w:t>
      </w:r>
      <w:r w:rsidR="00AF5997">
        <w:rPr>
          <w:rFonts w:hint="cs"/>
          <w:rtl/>
        </w:rPr>
        <w:t xml:space="preserve"> וחלק של העבודה השוטפת. נוצרים כ50-60 זהויות ליום.</w:t>
      </w:r>
      <w:r w:rsidR="00984623">
        <w:rPr>
          <w:rFonts w:hint="cs"/>
          <w:rtl/>
        </w:rPr>
        <w:t xml:space="preserve"> מערכת אלף תומכת בשיטה הזאת, אך היא לא לפי תקן </w:t>
      </w:r>
      <w:r w:rsidR="00984623">
        <w:t>MARC</w:t>
      </w:r>
      <w:r w:rsidR="00984623">
        <w:rPr>
          <w:rFonts w:hint="cs"/>
          <w:rtl/>
        </w:rPr>
        <w:t xml:space="preserve">. לפי </w:t>
      </w:r>
      <w:r w:rsidR="00984623">
        <w:t xml:space="preserve">MARC </w:t>
      </w:r>
      <w:r w:rsidR="00984623">
        <w:rPr>
          <w:rFonts w:hint="cs"/>
          <w:rtl/>
        </w:rPr>
        <w:t xml:space="preserve"> צריך להשתמש בשדות </w:t>
      </w:r>
      <w:r w:rsidR="00984623">
        <w:t>7XXX</w:t>
      </w:r>
      <w:r w:rsidR="00984623">
        <w:rPr>
          <w:rFonts w:hint="cs"/>
          <w:rtl/>
        </w:rPr>
        <w:t xml:space="preserve"> ברשומות הזהות</w:t>
      </w:r>
      <w:r w:rsidR="005D0899">
        <w:rPr>
          <w:rFonts w:hint="cs"/>
          <w:rtl/>
        </w:rPr>
        <w:t xml:space="preserve"> (ואין שם הפונקציונליות שיש באלף כאשר חיפוש באלף בית אחד מביא את הכל)</w:t>
      </w:r>
      <w:r w:rsidR="00984623">
        <w:rPr>
          <w:rFonts w:hint="cs"/>
          <w:rtl/>
        </w:rPr>
        <w:t>.</w:t>
      </w:r>
      <w:r w:rsidR="00984623">
        <w:t xml:space="preserve"> </w:t>
      </w:r>
      <w:r w:rsidR="00984623">
        <w:rPr>
          <w:rFonts w:hint="cs"/>
          <w:rtl/>
        </w:rPr>
        <w:t xml:space="preserve"> </w:t>
      </w:r>
    </w:p>
    <w:p w:rsidR="00984623" w:rsidRPr="00984623" w:rsidRDefault="00AF5997" w:rsidP="00B73A6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rtl/>
        </w:rPr>
        <w:t>ספריית הזהויות של הספרייה הלאומית הנמצאת באתר מלמד לא מעודכנת. אלחנן מתכנן ליצור שני מאגרים: אחד עם הרשומות ה</w:t>
      </w:r>
      <w:r w:rsidR="00B73A64">
        <w:rPr>
          <w:rFonts w:hint="cs"/>
          <w:rtl/>
        </w:rPr>
        <w:t>מאוחדות והשני עם רשומות מופרדות</w:t>
      </w:r>
      <w:r>
        <w:rPr>
          <w:rFonts w:hint="cs"/>
          <w:rtl/>
        </w:rPr>
        <w:t>, כפי שהיה בעבר.</w:t>
      </w:r>
      <w:r w:rsidR="00984623">
        <w:rPr>
          <w:rFonts w:hint="cs"/>
          <w:rtl/>
        </w:rPr>
        <w:t xml:space="preserve"> </w:t>
      </w:r>
    </w:p>
    <w:p w:rsidR="00984623" w:rsidRPr="00984623" w:rsidRDefault="00984623" w:rsidP="00984623">
      <w:pPr>
        <w:pStyle w:val="ListParagraph"/>
        <w:ind w:left="1440"/>
        <w:rPr>
          <w:b/>
          <w:bCs/>
        </w:rPr>
      </w:pPr>
    </w:p>
    <w:p w:rsidR="00FE091E" w:rsidRDefault="00CD1DA8" w:rsidP="00984623">
      <w:pPr>
        <w:pStyle w:val="ListParagraph"/>
        <w:ind w:left="1440"/>
        <w:rPr>
          <w:b/>
          <w:bCs/>
          <w:rtl/>
        </w:rPr>
      </w:pPr>
      <w:r w:rsidRPr="00220C21">
        <w:rPr>
          <w:rFonts w:hint="cs"/>
          <w:b/>
          <w:bCs/>
          <w:rtl/>
        </w:rPr>
        <w:t>שאלות</w:t>
      </w:r>
    </w:p>
    <w:p w:rsidR="00014167" w:rsidRDefault="00AF5997" w:rsidP="00B65E5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למה </w:t>
      </w:r>
      <w:r w:rsidR="00B65E5A">
        <w:rPr>
          <w:rFonts w:hint="cs"/>
          <w:rtl/>
        </w:rPr>
        <w:t xml:space="preserve"> צריך להוסיף </w:t>
      </w:r>
      <w:r w:rsidR="00B65E5A">
        <w:t>$$9</w:t>
      </w:r>
      <w:r w:rsidR="00B65E5A">
        <w:rPr>
          <w:rFonts w:hint="cs"/>
          <w:rtl/>
        </w:rPr>
        <w:t xml:space="preserve"> לכול עיול? </w:t>
      </w:r>
    </w:p>
    <w:p w:rsidR="00220C21" w:rsidRDefault="00B65E5A" w:rsidP="00014167">
      <w:pPr>
        <w:pStyle w:val="ListParagraph"/>
        <w:ind w:left="1620"/>
        <w:rPr>
          <w:rtl/>
        </w:rPr>
      </w:pPr>
      <w:r>
        <w:rPr>
          <w:rFonts w:hint="cs"/>
          <w:rtl/>
        </w:rPr>
        <w:t xml:space="preserve">העיול שמופיע ברשומות הביבליוגרפיות הוא לפי הכתיב של אותה רשומה. </w:t>
      </w:r>
      <w:r w:rsidR="00014167">
        <w:rPr>
          <w:rFonts w:hint="cs"/>
          <w:rtl/>
        </w:rPr>
        <w:t xml:space="preserve">  </w:t>
      </w:r>
      <w:r>
        <w:rPr>
          <w:rFonts w:hint="cs"/>
          <w:rtl/>
        </w:rPr>
        <w:t>מערכת אלף משתמש בתת-שדה 9 כדי לשדך את עיול המתאים</w:t>
      </w:r>
      <w:r w:rsidR="00DC4EFA">
        <w:rPr>
          <w:rFonts w:hint="cs"/>
          <w:rtl/>
        </w:rPr>
        <w:t xml:space="preserve"> עם הרמיזות</w:t>
      </w:r>
      <w:r w:rsidR="00DC4EFA" w:rsidRPr="00DC4EFA">
        <w:rPr>
          <w:rFonts w:hint="cs"/>
          <w:rtl/>
        </w:rPr>
        <w:t xml:space="preserve"> </w:t>
      </w:r>
      <w:r w:rsidR="00DC4EFA">
        <w:rPr>
          <w:rFonts w:hint="cs"/>
          <w:rtl/>
        </w:rPr>
        <w:t>הקשורות אליו</w:t>
      </w:r>
      <w:r>
        <w:rPr>
          <w:rFonts w:hint="cs"/>
          <w:rtl/>
        </w:rPr>
        <w:t>.</w:t>
      </w:r>
      <w:r w:rsidR="00220C2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014167" w:rsidRDefault="006E486E" w:rsidP="00B65E5A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האם </w:t>
      </w:r>
      <w:r w:rsidR="00B65E5A">
        <w:rPr>
          <w:rFonts w:hint="cs"/>
          <w:rtl/>
        </w:rPr>
        <w:t xml:space="preserve">השיטה מתאימה לתוכנת עלמה? </w:t>
      </w:r>
    </w:p>
    <w:p w:rsidR="006E486E" w:rsidRDefault="00B65E5A" w:rsidP="00014167">
      <w:pPr>
        <w:pStyle w:val="ListParagraph"/>
        <w:ind w:left="1560"/>
      </w:pPr>
      <w:r>
        <w:rPr>
          <w:rFonts w:hint="cs"/>
          <w:rtl/>
        </w:rPr>
        <w:t>פנו לאקס ליבריס, אך הם לא נתנו תשובה. מכיוון שספריות בשוויץ גם משתמשים בשיטה מקווים שאקס ליבריס ימצא פתרון.</w:t>
      </w:r>
    </w:p>
    <w:p w:rsidR="00014167" w:rsidRDefault="00B65E5A" w:rsidP="004741ED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האם אפשר לקבל העתק של ספריית הזהויות של הספרייה לאומית.</w:t>
      </w:r>
    </w:p>
    <w:p w:rsidR="004741ED" w:rsidRDefault="00B65E5A" w:rsidP="00014167">
      <w:pPr>
        <w:pStyle w:val="ListParagraph"/>
        <w:ind w:left="1440"/>
        <w:rPr>
          <w:rtl/>
        </w:rPr>
      </w:pPr>
      <w:r>
        <w:rPr>
          <w:rFonts w:hint="cs"/>
          <w:rtl/>
        </w:rPr>
        <w:t>כן</w:t>
      </w:r>
      <w:r w:rsidR="00DC4EFA">
        <w:rPr>
          <w:rFonts w:hint="cs"/>
          <w:rtl/>
        </w:rPr>
        <w:t>, הספרייה תשמח להעביר העתק והיא תציע העתק דרך מלמ"ד. בלי קשר-</w:t>
      </w:r>
      <w:r w:rsidR="004741ED">
        <w:rPr>
          <w:rFonts w:hint="cs"/>
          <w:rtl/>
        </w:rPr>
        <w:t xml:space="preserve"> הספרייה לאומית תספק מסמך המתאר את תהליך המעבר לזהויות רב כתיב.</w:t>
      </w:r>
    </w:p>
    <w:p w:rsidR="00C1659B" w:rsidRDefault="00C1659B" w:rsidP="00C1659B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האם משתמשים בכתיב מלא או חסר כעיול ראשי?</w:t>
      </w:r>
    </w:p>
    <w:p w:rsidR="00C1659B" w:rsidRDefault="00C1659B" w:rsidP="00C1659B">
      <w:pPr>
        <w:pStyle w:val="ListParagraph"/>
        <w:ind w:left="1440"/>
        <w:rPr>
          <w:rtl/>
        </w:rPr>
      </w:pPr>
      <w:r>
        <w:rPr>
          <w:rFonts w:hint="cs"/>
          <w:rtl/>
        </w:rPr>
        <w:t xml:space="preserve">כותבים את השם בצורה שמופיע ברוב פרסומיו , כפי שהוחלט בועדת קיטלוג ארצית. צורות אחרות מופיעות כרמיזות בשדה </w:t>
      </w:r>
      <w:r>
        <w:t>4XXX</w:t>
      </w:r>
      <w:r>
        <w:rPr>
          <w:rFonts w:hint="cs"/>
          <w:rtl/>
        </w:rPr>
        <w:t>.</w:t>
      </w:r>
    </w:p>
    <w:p w:rsidR="00C1659B" w:rsidRDefault="00C1659B" w:rsidP="00014167">
      <w:pPr>
        <w:pStyle w:val="ListParagraph"/>
        <w:ind w:left="1440"/>
        <w:rPr>
          <w:rtl/>
        </w:rPr>
      </w:pPr>
    </w:p>
    <w:p w:rsidR="004741ED" w:rsidRDefault="00A252A4" w:rsidP="00A93178">
      <w:pPr>
        <w:pStyle w:val="ListParagraph"/>
        <w:ind w:left="1440"/>
        <w:jc w:val="right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282.75pt;width:339.75pt;height:.75pt;z-index:251663360" o:connectortype="straight">
            <w10:wrap anchorx="page"/>
          </v:shape>
        </w:pict>
      </w: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A93178" w:rsidP="00A93178">
      <w:pPr>
        <w:pStyle w:val="ListParagraph"/>
        <w:ind w:left="1440"/>
        <w:jc w:val="right"/>
        <w:rPr>
          <w:rtl/>
        </w:rPr>
      </w:pPr>
    </w:p>
    <w:p w:rsidR="00A93178" w:rsidRDefault="005D0899" w:rsidP="00A93178">
      <w:pPr>
        <w:pStyle w:val="ListParagraph"/>
        <w:ind w:left="1440"/>
        <w:jc w:val="right"/>
        <w:rPr>
          <w:rtl/>
        </w:rPr>
      </w:pPr>
      <w:r>
        <w:rPr>
          <w:noProof/>
        </w:rPr>
        <w:drawing>
          <wp:inline distT="0" distB="0" distL="0" distR="0">
            <wp:extent cx="4914900" cy="408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8" t="19276" r="38078" b="1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A" w:rsidRDefault="00B65E5A" w:rsidP="004741ED">
      <w:pPr>
        <w:pStyle w:val="ListParagraph"/>
        <w:ind w:left="1440"/>
      </w:pPr>
    </w:p>
    <w:p w:rsidR="00630898" w:rsidRDefault="00630898" w:rsidP="00630898">
      <w:pPr>
        <w:pStyle w:val="ListParagraph"/>
        <w:ind w:left="1440"/>
      </w:pPr>
    </w:p>
    <w:p w:rsidR="006E486E" w:rsidRPr="006772C7" w:rsidRDefault="00630898" w:rsidP="006E486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772C7">
        <w:rPr>
          <w:rFonts w:hint="cs"/>
          <w:b/>
          <w:bCs/>
          <w:u w:val="single"/>
          <w:rtl/>
        </w:rPr>
        <w:t xml:space="preserve">תרגום </w:t>
      </w:r>
      <w:r w:rsidR="006E486E" w:rsidRPr="006772C7">
        <w:rPr>
          <w:rFonts w:hint="cs"/>
          <w:b/>
          <w:bCs/>
          <w:u w:val="single"/>
          <w:rtl/>
        </w:rPr>
        <w:t xml:space="preserve">נושאי </w:t>
      </w:r>
      <w:r w:rsidR="006E486E" w:rsidRPr="006772C7">
        <w:rPr>
          <w:b/>
          <w:bCs/>
          <w:u w:val="single"/>
        </w:rPr>
        <w:t>LCSH</w:t>
      </w:r>
      <w:r w:rsidR="006E486E" w:rsidRPr="006772C7">
        <w:rPr>
          <w:rFonts w:hint="cs"/>
          <w:b/>
          <w:bCs/>
          <w:u w:val="single"/>
          <w:rtl/>
        </w:rPr>
        <w:t xml:space="preserve"> לעברית</w:t>
      </w:r>
    </w:p>
    <w:p w:rsidR="00571D13" w:rsidRDefault="006F7295" w:rsidP="00571D13">
      <w:pPr>
        <w:pStyle w:val="ListParagraph"/>
        <w:rPr>
          <w:rtl/>
        </w:rPr>
      </w:pPr>
      <w:r>
        <w:rPr>
          <w:rFonts w:hint="cs"/>
          <w:b/>
          <w:bCs/>
          <w:rtl/>
        </w:rPr>
        <w:t xml:space="preserve"> </w:t>
      </w:r>
    </w:p>
    <w:p w:rsidR="006F7295" w:rsidRDefault="006F7295" w:rsidP="00C1659B">
      <w:pPr>
        <w:ind w:left="720"/>
        <w:rPr>
          <w:rtl/>
        </w:rPr>
      </w:pPr>
      <w:r w:rsidRPr="006F7295">
        <w:rPr>
          <w:rFonts w:hint="cs"/>
          <w:rtl/>
        </w:rPr>
        <w:t xml:space="preserve">עד סוף השנה יושלם התרגום האוטומטי של הנושאים על בסיס הקטלוגים של אוניברסיטת בר-אילן והספרייה הפתוחה. בשנה הבאה יחלו בתרגום נושאים שאינם נמצאים בקטלוגים אלו, אולם רק בנושאי הליבה של הספרייה הלאומית. שמות מקומות יתבססו </w:t>
      </w:r>
      <w:r w:rsidR="00C1659B">
        <w:rPr>
          <w:rFonts w:hint="cs"/>
          <w:rtl/>
        </w:rPr>
        <w:t>על</w:t>
      </w:r>
      <w:r w:rsidRPr="006F7295">
        <w:rPr>
          <w:rFonts w:hint="cs"/>
          <w:rtl/>
        </w:rPr>
        <w:t xml:space="preserve"> ספר ועדת השמות הממשלתי (טיוטה סופית).</w:t>
      </w:r>
    </w:p>
    <w:p w:rsidR="006F7295" w:rsidRDefault="006F7295" w:rsidP="006F7295">
      <w:pPr>
        <w:ind w:left="720"/>
        <w:rPr>
          <w:b/>
          <w:bCs/>
          <w:rtl/>
        </w:rPr>
      </w:pPr>
      <w:r w:rsidRPr="00220C21">
        <w:rPr>
          <w:rFonts w:hint="cs"/>
          <w:b/>
          <w:bCs/>
          <w:rtl/>
        </w:rPr>
        <w:t>שאלות</w:t>
      </w:r>
    </w:p>
    <w:p w:rsidR="006F7295" w:rsidRDefault="006F7295" w:rsidP="006F7295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  שאלו האם הספרייה הלאומית מתכוונת לתרגם את הנושאים של </w:t>
      </w:r>
      <w:r>
        <w:t>MESH</w:t>
      </w:r>
      <w:r>
        <w:rPr>
          <w:rFonts w:hint="cs"/>
          <w:rtl/>
        </w:rPr>
        <w:t xml:space="preserve">. התשובה: לא.  </w:t>
      </w:r>
    </w:p>
    <w:p w:rsidR="006F7295" w:rsidRDefault="006F7295" w:rsidP="00CB1EE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האם </w:t>
      </w:r>
      <w:r w:rsidR="00CB1EE0">
        <w:rPr>
          <w:rFonts w:hint="cs"/>
          <w:rtl/>
        </w:rPr>
        <w:t xml:space="preserve"> אפשר ליישם את השיטה רק על נושאים? אפשרי אך מסובך. צריך ליצור זהויות עבור כול שרשורי הנושאים. </w:t>
      </w:r>
    </w:p>
    <w:p w:rsidR="00CD7D47" w:rsidRDefault="00CD7D47" w:rsidP="00CD7D47">
      <w:pPr>
        <w:pStyle w:val="ListParagraph"/>
        <w:ind w:left="1440"/>
      </w:pPr>
    </w:p>
    <w:p w:rsidR="00CD7D47" w:rsidRDefault="00CD7D47" w:rsidP="00CD7D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RDA</w:t>
      </w:r>
    </w:p>
    <w:p w:rsidR="00CD7D47" w:rsidRDefault="00CD7D47" w:rsidP="00CD7D47">
      <w:pPr>
        <w:pStyle w:val="ListParagraph"/>
        <w:rPr>
          <w:b/>
          <w:bCs/>
          <w:u w:val="single"/>
          <w:rtl/>
        </w:rPr>
      </w:pPr>
    </w:p>
    <w:p w:rsidR="00CD7D47" w:rsidRDefault="00527082" w:rsidP="005D0899">
      <w:pPr>
        <w:numPr>
          <w:ilvl w:val="0"/>
          <w:numId w:val="6"/>
        </w:numPr>
      </w:pPr>
      <w:r w:rsidRPr="00CD7D47">
        <w:rPr>
          <w:rFonts w:hint="cs"/>
          <w:rtl/>
        </w:rPr>
        <w:lastRenderedPageBreak/>
        <w:t>בארצות הברית</w:t>
      </w:r>
      <w:r w:rsidR="00C43C44">
        <w:rPr>
          <w:rFonts w:hint="cs"/>
          <w:rtl/>
        </w:rPr>
        <w:t>,</w:t>
      </w:r>
      <w:r w:rsidRPr="00CD7D47">
        <w:rPr>
          <w:rFonts w:hint="cs"/>
          <w:rtl/>
        </w:rPr>
        <w:t xml:space="preserve"> </w:t>
      </w:r>
      <w:r w:rsidR="00C43C44" w:rsidRPr="00CD7D47">
        <w:rPr>
          <w:rFonts w:hint="cs"/>
          <w:rtl/>
        </w:rPr>
        <w:t>חלק גדו</w:t>
      </w:r>
      <w:r w:rsidR="00C43C44">
        <w:rPr>
          <w:rFonts w:hint="cs"/>
          <w:rtl/>
        </w:rPr>
        <w:t>ל מספריות האוניברסיטאות הגדולות,</w:t>
      </w:r>
      <w:r w:rsidR="00C43C44" w:rsidRPr="00CD7D47">
        <w:rPr>
          <w:rFonts w:hint="cs"/>
          <w:rtl/>
        </w:rPr>
        <w:t xml:space="preserve"> </w:t>
      </w:r>
      <w:r w:rsidRPr="00CD7D47">
        <w:rPr>
          <w:rFonts w:hint="cs"/>
          <w:rtl/>
        </w:rPr>
        <w:t>עוברות בהדרגה לשיטה זו</w:t>
      </w:r>
      <w:r>
        <w:rPr>
          <w:rFonts w:hint="cs"/>
          <w:rtl/>
        </w:rPr>
        <w:t xml:space="preserve">, </w:t>
      </w:r>
      <w:r w:rsidRPr="00CD7D47">
        <w:rPr>
          <w:rFonts w:hint="cs"/>
          <w:rtl/>
        </w:rPr>
        <w:t>האמורה להחליף את ה-2</w:t>
      </w:r>
      <w:r w:rsidRPr="00CD7D47">
        <w:t xml:space="preserve">AACR </w:t>
      </w:r>
      <w:r>
        <w:rPr>
          <w:rFonts w:hint="cs"/>
          <w:rtl/>
        </w:rPr>
        <w:t xml:space="preserve">. </w:t>
      </w:r>
      <w:r w:rsidRPr="00CD7D47">
        <w:rPr>
          <w:rFonts w:hint="cs"/>
          <w:rtl/>
        </w:rPr>
        <w:t>המעבר הרשמי של ספריית הקונגרס הוא ה-31.3.2013.</w:t>
      </w:r>
      <w:r w:rsidR="00C43C44">
        <w:rPr>
          <w:rFonts w:hint="cs"/>
          <w:rtl/>
        </w:rPr>
        <w:t xml:space="preserve"> גם ספריות מחוץ לארצות הברית מתכוננים למעבר ל-</w:t>
      </w:r>
      <w:r w:rsidR="00C43C44">
        <w:t>RDA</w:t>
      </w:r>
      <w:r w:rsidR="00C43C44">
        <w:rPr>
          <w:rFonts w:hint="cs"/>
          <w:rtl/>
        </w:rPr>
        <w:t>. ה-</w:t>
      </w:r>
      <w:r w:rsidR="00C43C44">
        <w:t>RDA toolkit</w:t>
      </w:r>
      <w:r w:rsidR="00C43C44">
        <w:rPr>
          <w:rFonts w:hint="cs"/>
          <w:rtl/>
        </w:rPr>
        <w:t xml:space="preserve"> מתורגם (או בשלבי תרגום</w:t>
      </w:r>
      <w:r w:rsidR="00C43C44">
        <w:t>(</w:t>
      </w:r>
      <w:r w:rsidR="00C43C44">
        <w:rPr>
          <w:rFonts w:hint="cs"/>
          <w:rtl/>
        </w:rPr>
        <w:t xml:space="preserve"> לצרפתית, גרמנית וספרדית. </w:t>
      </w:r>
      <w:r w:rsidRPr="00CD7D4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CD7D47" w:rsidRPr="00CD7D47">
        <w:rPr>
          <w:rFonts w:hint="cs"/>
          <w:rtl/>
        </w:rPr>
        <w:t xml:space="preserve">הוועדה </w:t>
      </w:r>
      <w:r>
        <w:rPr>
          <w:rFonts w:hint="cs"/>
          <w:rtl/>
        </w:rPr>
        <w:t xml:space="preserve">הארצית לקיטלוג </w:t>
      </w:r>
      <w:r w:rsidR="00CD7D47" w:rsidRPr="00CD7D47">
        <w:rPr>
          <w:rFonts w:hint="cs"/>
          <w:rtl/>
        </w:rPr>
        <w:t>צריכה לגבש החלטה/המלצה למנהלי ה</w:t>
      </w:r>
      <w:r>
        <w:rPr>
          <w:rFonts w:hint="cs"/>
          <w:rtl/>
        </w:rPr>
        <w:t xml:space="preserve">ספריות </w:t>
      </w:r>
      <w:r w:rsidR="005D0899">
        <w:rPr>
          <w:rFonts w:hint="cs"/>
          <w:rtl/>
        </w:rPr>
        <w:t xml:space="preserve">מתי </w:t>
      </w:r>
      <w:r>
        <w:rPr>
          <w:rFonts w:hint="cs"/>
          <w:rtl/>
        </w:rPr>
        <w:t>לעבור לשיטת קטלוג זו</w:t>
      </w:r>
      <w:r w:rsidR="00CD7D47" w:rsidRPr="00CD7D47">
        <w:rPr>
          <w:rFonts w:hint="cs"/>
          <w:rtl/>
        </w:rPr>
        <w:t xml:space="preserve">. </w:t>
      </w:r>
      <w:r>
        <w:rPr>
          <w:rFonts w:hint="cs"/>
          <w:rtl/>
        </w:rPr>
        <w:t>יניב לוי ינסח מכתב למנהלי הספריות.</w:t>
      </w:r>
    </w:p>
    <w:p w:rsidR="00095103" w:rsidRDefault="00095103" w:rsidP="00C43C44">
      <w:pPr>
        <w:numPr>
          <w:ilvl w:val="0"/>
          <w:numId w:val="6"/>
        </w:numPr>
      </w:pPr>
      <w:r>
        <w:rPr>
          <w:rFonts w:hint="cs"/>
          <w:rtl/>
        </w:rPr>
        <w:t>יותר רשומות יקוטלגו ב-</w:t>
      </w:r>
      <w:r>
        <w:t>OCLC</w:t>
      </w:r>
      <w:r>
        <w:rPr>
          <w:rFonts w:hint="cs"/>
          <w:rtl/>
        </w:rPr>
        <w:t xml:space="preserve"> לפי </w:t>
      </w:r>
      <w:r w:rsidR="00C43C44">
        <w:rPr>
          <w:rFonts w:hint="cs"/>
          <w:rtl/>
        </w:rPr>
        <w:t xml:space="preserve">כללי </w:t>
      </w:r>
      <w:r>
        <w:t>RDA</w:t>
      </w:r>
      <w:r>
        <w:rPr>
          <w:rFonts w:hint="cs"/>
          <w:rtl/>
        </w:rPr>
        <w:t xml:space="preserve">. יש צורך להחליט ברמה ארצית איך להתייחס לשדות החדשות של </w:t>
      </w:r>
      <w:r>
        <w:t>RDA</w:t>
      </w:r>
      <w:r>
        <w:rPr>
          <w:rFonts w:hint="cs"/>
          <w:rtl/>
        </w:rPr>
        <w:t>.</w:t>
      </w:r>
      <w:r w:rsidR="00C43C44">
        <w:rPr>
          <w:rFonts w:hint="cs"/>
          <w:rtl/>
        </w:rPr>
        <w:t xml:space="preserve"> הוקם תת-ועדה שמטרתו לגבש המלצות. </w:t>
      </w:r>
      <w:r w:rsidR="00C43C44" w:rsidRPr="00C43C44">
        <w:rPr>
          <w:rFonts w:hint="cs"/>
          <w:rtl/>
        </w:rPr>
        <w:t xml:space="preserve">(ריני גולדסמית, תמר בלומנדל, פרידה הדר, חיים סימור, ירדנה לוינברג, אלחנן ילווה את הוועדה ויש לנסות להוסיף אליה גם מתאם אלף לבחינת הנושאים הטכניים)  בשלב ראשון יגבשו המלצות לרשומות </w:t>
      </w:r>
      <w:r w:rsidR="00C43C44">
        <w:rPr>
          <w:rFonts w:hint="cs"/>
          <w:rtl/>
        </w:rPr>
        <w:t>מעותקות</w:t>
      </w:r>
      <w:r w:rsidR="00C43C44" w:rsidRPr="00C43C44">
        <w:rPr>
          <w:rFonts w:hint="cs"/>
          <w:rtl/>
        </w:rPr>
        <w:t>. סיום השלב הראשון מתוכנן לכל</w:t>
      </w:r>
      <w:r w:rsidR="00C43C44" w:rsidRPr="00C43C44">
        <w:rPr>
          <w:rtl/>
        </w:rPr>
        <w:t xml:space="preserve"> </w:t>
      </w:r>
      <w:r w:rsidR="00C43C44" w:rsidRPr="00C43C44">
        <w:rPr>
          <w:rFonts w:hint="cs"/>
          <w:rtl/>
        </w:rPr>
        <w:t>המאוחר עד 31.03.2013.</w:t>
      </w:r>
    </w:p>
    <w:p w:rsidR="005D0899" w:rsidRDefault="005D0899" w:rsidP="00C43C44">
      <w:pPr>
        <w:numPr>
          <w:ilvl w:val="0"/>
          <w:numId w:val="6"/>
        </w:numPr>
      </w:pPr>
      <w:r>
        <w:rPr>
          <w:rFonts w:hint="cs"/>
          <w:rtl/>
        </w:rPr>
        <w:t xml:space="preserve">על הועדה להחליט על בעתיד עת תאריך יעד למעבר לקיטלוג עברי לפי </w:t>
      </w:r>
      <w:r>
        <w:rPr>
          <w:rFonts w:hint="cs"/>
        </w:rPr>
        <w:t>RDA</w:t>
      </w:r>
      <w:r>
        <w:rPr>
          <w:rFonts w:hint="cs"/>
          <w:rtl/>
        </w:rPr>
        <w:t xml:space="preserve"> לאחר שהאמריקנים יעברו והפרשנות האמריקנית לכללי </w:t>
      </w:r>
      <w:r>
        <w:rPr>
          <w:rFonts w:hint="cs"/>
        </w:rPr>
        <w:t>RDA</w:t>
      </w:r>
      <w:r>
        <w:rPr>
          <w:rFonts w:hint="cs"/>
          <w:rtl/>
        </w:rPr>
        <w:t xml:space="preserve"> תהיה מגובשת יותר.</w:t>
      </w:r>
    </w:p>
    <w:p w:rsidR="00A154CA" w:rsidRDefault="00A154CA" w:rsidP="00C43C44">
      <w:pPr>
        <w:numPr>
          <w:ilvl w:val="0"/>
          <w:numId w:val="6"/>
        </w:numPr>
      </w:pPr>
      <w:r>
        <w:rPr>
          <w:rFonts w:hint="cs"/>
          <w:rtl/>
        </w:rPr>
        <w:t xml:space="preserve">הספרייה לאומית הזמינה את </w:t>
      </w:r>
      <w:r>
        <w:t>Barbara Tillett</w:t>
      </w:r>
      <w:r>
        <w:rPr>
          <w:rFonts w:hint="cs"/>
          <w:rtl/>
        </w:rPr>
        <w:t xml:space="preserve">, מספריית הקונגרס להרצות בנושא </w:t>
      </w:r>
      <w:r>
        <w:t>RDA</w:t>
      </w:r>
      <w:r>
        <w:rPr>
          <w:rFonts w:hint="cs"/>
          <w:rtl/>
        </w:rPr>
        <w:t>. בעקבות ביקורה הספרייה לאומית מארגנת יום עיון</w:t>
      </w:r>
      <w:r w:rsidR="005D0899">
        <w:rPr>
          <w:rFonts w:hint="cs"/>
          <w:rtl/>
        </w:rPr>
        <w:t xml:space="preserve"> שבו ישתתפו ספריות אחרות</w:t>
      </w:r>
      <w:r>
        <w:rPr>
          <w:rFonts w:hint="cs"/>
          <w:rtl/>
        </w:rPr>
        <w:t xml:space="preserve"> ב-10.01.2013. </w:t>
      </w:r>
    </w:p>
    <w:p w:rsidR="00A154CA" w:rsidRDefault="00A154CA" w:rsidP="00A154CA">
      <w:pPr>
        <w:ind w:left="1080"/>
        <w:rPr>
          <w:rtl/>
        </w:rPr>
      </w:pPr>
      <w:r>
        <w:rPr>
          <w:rFonts w:hint="cs"/>
          <w:rtl/>
        </w:rPr>
        <w:t xml:space="preserve">לינקים למצגות של </w:t>
      </w:r>
      <w:r>
        <w:rPr>
          <w:rFonts w:hint="cs"/>
        </w:rPr>
        <w:t>A</w:t>
      </w:r>
      <w:r>
        <w:t>dam Schiff</w:t>
      </w:r>
      <w:r>
        <w:rPr>
          <w:rFonts w:hint="cs"/>
          <w:rtl/>
        </w:rPr>
        <w:t xml:space="preserve"> על </w:t>
      </w:r>
      <w:r>
        <w:t>RDA</w:t>
      </w:r>
      <w:r>
        <w:rPr>
          <w:rFonts w:hint="cs"/>
          <w:rtl/>
        </w:rPr>
        <w:t xml:space="preserve"> מדף הבית שלו: </w:t>
      </w:r>
      <w:hyperlink r:id="rId7" w:history="1">
        <w:r w:rsidRPr="00F5570A">
          <w:rPr>
            <w:rStyle w:val="Hyperlink"/>
          </w:rPr>
          <w:t>http://faculty.washington.edu/aschiff</w:t>
        </w:r>
        <w:r w:rsidRPr="00F5570A">
          <w:rPr>
            <w:rStyle w:val="Hyperlink"/>
            <w:rtl/>
          </w:rPr>
          <w:t>/</w:t>
        </w:r>
      </w:hyperlink>
    </w:p>
    <w:p w:rsidR="00A154CA" w:rsidRDefault="00A154CA" w:rsidP="00A154CA">
      <w:pPr>
        <w:ind w:left="1080"/>
        <w:rPr>
          <w:rtl/>
        </w:rPr>
      </w:pPr>
    </w:p>
    <w:p w:rsidR="00A154CA" w:rsidRDefault="00A252A4" w:rsidP="00A154CA">
      <w:pPr>
        <w:bidi w:val="0"/>
        <w:ind w:left="1080"/>
      </w:pPr>
      <w:hyperlink r:id="rId8" w:history="1">
        <w:r w:rsidR="00A154CA">
          <w:rPr>
            <w:rStyle w:val="Hyperlink"/>
          </w:rPr>
          <w:t>Changes from AACR2 to RDA: A Comparison of Examples</w:t>
        </w:r>
      </w:hyperlink>
      <w:r w:rsidR="00A154CA">
        <w:t xml:space="preserve"> - PowerPoint Presentation at 2010 BC Library Association Conference - revised in May 2011 (PDF file); PPT version </w:t>
      </w:r>
      <w:hyperlink r:id="rId9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10" w:history="1">
        <w:r w:rsidR="00A154CA">
          <w:rPr>
            <w:rStyle w:val="Hyperlink"/>
          </w:rPr>
          <w:t>Changes from AACR2 to RDA: A Comparison of Examples</w:t>
        </w:r>
      </w:hyperlink>
      <w:r w:rsidR="00A154CA">
        <w:t xml:space="preserve"> - PowerPoint Presentation at 2010 Association of Jewish Libraries Convention (PDF file); PPT version </w:t>
      </w:r>
      <w:hyperlink r:id="rId11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12" w:history="1">
        <w:r w:rsidR="00A154CA">
          <w:rPr>
            <w:rStyle w:val="Hyperlink"/>
          </w:rPr>
          <w:t>Changes from AACR2 to RDA: A Comparison of Examples</w:t>
        </w:r>
      </w:hyperlink>
      <w:r w:rsidR="00A154CA">
        <w:t xml:space="preserve"> - PowerPoint Presentation at 2010 PNLA/WLA Conference (PDF file); PPT version </w:t>
      </w:r>
      <w:hyperlink r:id="rId13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14" w:history="1">
        <w:r w:rsidR="00A154CA">
          <w:rPr>
            <w:rStyle w:val="Hyperlink"/>
          </w:rPr>
          <w:t>Changes from AACR2 to RDA: A Comparison of Examples</w:t>
        </w:r>
      </w:hyperlink>
      <w:r w:rsidR="00A154CA">
        <w:t xml:space="preserve"> - PowerPoint Presentation at 2010 WLMA/WALE Annual Conference (PDF file); PPT version </w:t>
      </w:r>
      <w:hyperlink r:id="rId15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16" w:history="1">
        <w:r w:rsidR="00A154CA">
          <w:rPr>
            <w:rStyle w:val="Hyperlink"/>
          </w:rPr>
          <w:t>Changes from AACR2 to RDA. Part 1: Description</w:t>
        </w:r>
      </w:hyperlink>
      <w:r w:rsidR="00A154CA">
        <w:t xml:space="preserve"> - Expanded version of the ALCTS webinar presented on February 2, 2011 (PDF file); PPT version </w:t>
      </w:r>
      <w:hyperlink r:id="rId17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18" w:history="1">
        <w:r w:rsidR="00A154CA">
          <w:rPr>
            <w:rStyle w:val="Hyperlink"/>
          </w:rPr>
          <w:t>Changes from AACR2 to RDA. Part 2: Access Points</w:t>
        </w:r>
      </w:hyperlink>
      <w:r w:rsidR="00A154CA">
        <w:t xml:space="preserve"> - ALCTS webinar presented on February 9, 2011 (PDF file); PPT version </w:t>
      </w:r>
      <w:hyperlink r:id="rId19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20" w:history="1">
        <w:r w:rsidR="00A154CA">
          <w:rPr>
            <w:rStyle w:val="Hyperlink"/>
          </w:rPr>
          <w:t>Changes from AACR2 to RDA</w:t>
        </w:r>
      </w:hyperlink>
      <w:r w:rsidR="00A154CA">
        <w:t xml:space="preserve"> - PowerPoint Presentation at 2011 Alaska Library Association Annual Conference (PDF file); PPT version </w:t>
      </w:r>
      <w:hyperlink r:id="rId21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22" w:history="1">
        <w:r w:rsidR="00A154CA">
          <w:rPr>
            <w:rStyle w:val="Hyperlink"/>
          </w:rPr>
          <w:t>Changes from AACR2 to RDA</w:t>
        </w:r>
      </w:hyperlink>
      <w:r w:rsidR="00A154CA">
        <w:t xml:space="preserve"> - PowerPoint Presentation at 2011 Oregon Library Association Annual Conference (PDF file); PPT version </w:t>
      </w:r>
      <w:hyperlink r:id="rId23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24" w:history="1">
        <w:r w:rsidR="00A154CA">
          <w:rPr>
            <w:rStyle w:val="Hyperlink"/>
          </w:rPr>
          <w:t>Changes from AACR2 to RDA. Part 1: Description</w:t>
        </w:r>
      </w:hyperlink>
      <w:r w:rsidR="00A154CA">
        <w:t xml:space="preserve"> - OCLC webinar, July 13, 2011 (PDF file); PPT version </w:t>
      </w:r>
      <w:hyperlink r:id="rId25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26" w:history="1">
        <w:r w:rsidR="00A154CA">
          <w:rPr>
            <w:rStyle w:val="Hyperlink"/>
          </w:rPr>
          <w:t>Changes from AACR2 to RDA. Part 2: Access Points</w:t>
        </w:r>
      </w:hyperlink>
      <w:r w:rsidR="00A154CA">
        <w:t xml:space="preserve"> - OCLC webinar, July 14, 2011 (PDF file); PPT version </w:t>
      </w:r>
      <w:hyperlink r:id="rId27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28" w:history="1">
        <w:r w:rsidR="00A154CA">
          <w:rPr>
            <w:rStyle w:val="Hyperlink"/>
          </w:rPr>
          <w:t>RDA: Mapping the Fields. Part 1: Description</w:t>
        </w:r>
      </w:hyperlink>
      <w:r w:rsidR="00A154CA">
        <w:t xml:space="preserve"> - LACONI Technical Services Section, February 3, 2012; PPT version </w:t>
      </w:r>
      <w:hyperlink r:id="rId29" w:history="1">
        <w:r w:rsidR="00A154CA">
          <w:rPr>
            <w:rStyle w:val="Hyperlink"/>
          </w:rPr>
          <w:t>here</w:t>
        </w:r>
      </w:hyperlink>
      <w:r w:rsidR="00A154CA">
        <w:br/>
      </w:r>
      <w:hyperlink r:id="rId30" w:history="1">
        <w:r w:rsidR="00A154CA">
          <w:rPr>
            <w:rStyle w:val="Hyperlink"/>
          </w:rPr>
          <w:t>RDA: Mapping the Fields. Part 2: Access Points</w:t>
        </w:r>
      </w:hyperlink>
      <w:r w:rsidR="00A154CA">
        <w:t xml:space="preserve"> - LACONI Technical Services Section, February 3, 2012; PPT version </w:t>
      </w:r>
      <w:hyperlink r:id="rId31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32" w:history="1">
        <w:r w:rsidR="00A154CA">
          <w:rPr>
            <w:rStyle w:val="Hyperlink"/>
          </w:rPr>
          <w:t>Changes from AACR2 to RDA: A Comparison of Examples. Part 1: Description</w:t>
        </w:r>
      </w:hyperlink>
      <w:r w:rsidR="00A154CA">
        <w:t xml:space="preserve"> - Oregon Library Association 2012 Annual Conference (PDF file); PPT version </w:t>
      </w:r>
      <w:hyperlink r:id="rId33" w:history="1">
        <w:r w:rsidR="00A154CA">
          <w:rPr>
            <w:rStyle w:val="Hyperlink"/>
          </w:rPr>
          <w:t>here</w:t>
        </w:r>
      </w:hyperlink>
      <w:r w:rsidR="00A154CA">
        <w:br/>
      </w:r>
      <w:hyperlink r:id="rId34" w:history="1">
        <w:r w:rsidR="00A154CA">
          <w:rPr>
            <w:rStyle w:val="Hyperlink"/>
          </w:rPr>
          <w:t>Changes from AACR2 to RDA: A Comparison of Examples. Part 2: Access Points</w:t>
        </w:r>
      </w:hyperlink>
      <w:r w:rsidR="00A154CA">
        <w:t xml:space="preserve"> - Oregon Library Association 2012 Annual Conference (PDF file); PPT version </w:t>
      </w:r>
      <w:hyperlink r:id="rId35" w:history="1">
        <w:r w:rsidR="00A154CA">
          <w:rPr>
            <w:rStyle w:val="Hyperlink"/>
          </w:rPr>
          <w:t>here</w:t>
        </w:r>
      </w:hyperlink>
      <w:r w:rsidR="00A154CA">
        <w:t xml:space="preserve"> </w:t>
      </w:r>
      <w:r w:rsidR="00A154CA">
        <w:br/>
      </w:r>
      <w:hyperlink r:id="rId36" w:history="1">
        <w:r w:rsidR="00A154CA">
          <w:rPr>
            <w:rStyle w:val="Hyperlink"/>
          </w:rPr>
          <w:t>Changes from AACR2 to RDA: A Comparison of Examples. Part 1: Description</w:t>
        </w:r>
      </w:hyperlink>
      <w:r w:rsidR="00A154CA">
        <w:t xml:space="preserve"> - Updated and presented to University of Washington Libraries Staff, July 2012 (PDF file)</w:t>
      </w:r>
      <w:r w:rsidR="00A154CA">
        <w:br/>
      </w:r>
      <w:hyperlink r:id="rId37" w:history="1">
        <w:r w:rsidR="00A154CA">
          <w:rPr>
            <w:rStyle w:val="Hyperlink"/>
          </w:rPr>
          <w:t>Changes from AACR2 to RDA: A Comparison of Examples. Part 2: Access Points</w:t>
        </w:r>
      </w:hyperlink>
      <w:r w:rsidR="00A154CA">
        <w:t xml:space="preserve"> - Updated and presented to University of Washington Libraries Staff, July 2012 (PDF file) </w:t>
      </w:r>
      <w:r w:rsidR="00A154CA">
        <w:br/>
      </w:r>
      <w:hyperlink r:id="rId38" w:history="1">
        <w:r w:rsidR="00A154CA">
          <w:rPr>
            <w:rStyle w:val="Hyperlink"/>
          </w:rPr>
          <w:t>Conversion of the AACR2 Authority File to RDA</w:t>
        </w:r>
      </w:hyperlink>
      <w:r w:rsidR="00A154CA">
        <w:t xml:space="preserve"> - PowerPoint Presentation at 2012 Oregon Library Association Annual Conference</w:t>
      </w:r>
    </w:p>
    <w:p w:rsidR="00A154CA" w:rsidRDefault="00A154CA" w:rsidP="00A154CA">
      <w:pPr>
        <w:ind w:left="1080"/>
        <w:rPr>
          <w:rtl/>
        </w:rPr>
      </w:pPr>
    </w:p>
    <w:p w:rsidR="00095103" w:rsidRPr="00CD7D47" w:rsidRDefault="00095103" w:rsidP="00527082">
      <w:pPr>
        <w:ind w:left="360"/>
        <w:rPr>
          <w:rtl/>
        </w:rPr>
      </w:pPr>
    </w:p>
    <w:p w:rsidR="00CD7D47" w:rsidRPr="006772C7" w:rsidRDefault="00CD7D47" w:rsidP="00CD7D47">
      <w:pPr>
        <w:pStyle w:val="ListParagraph"/>
        <w:rPr>
          <w:b/>
          <w:bCs/>
          <w:u w:val="single"/>
        </w:rPr>
      </w:pPr>
    </w:p>
    <w:p w:rsidR="00CD7D47" w:rsidRDefault="00CD7D47" w:rsidP="00CD7D47">
      <w:pPr>
        <w:pStyle w:val="ListParagraph"/>
        <w:ind w:left="1080"/>
      </w:pPr>
    </w:p>
    <w:p w:rsidR="00CD7D47" w:rsidRDefault="00CD7D47" w:rsidP="00CD7D47">
      <w:pPr>
        <w:pStyle w:val="ListParagraph"/>
        <w:ind w:left="1080"/>
      </w:pPr>
    </w:p>
    <w:p w:rsidR="006F7295" w:rsidRDefault="006F7295" w:rsidP="00CB1EE0">
      <w:pPr>
        <w:pStyle w:val="ListParagraph"/>
        <w:ind w:left="1440"/>
        <w:rPr>
          <w:rtl/>
        </w:rPr>
      </w:pPr>
    </w:p>
    <w:p w:rsidR="006F7295" w:rsidRPr="006F7295" w:rsidRDefault="006F7295" w:rsidP="006F7295">
      <w:pPr>
        <w:ind w:left="720"/>
        <w:rPr>
          <w:rtl/>
        </w:rPr>
      </w:pPr>
    </w:p>
    <w:p w:rsidR="001B0A2B" w:rsidRDefault="006F7295" w:rsidP="006F7295">
      <w:pPr>
        <w:pStyle w:val="ListParagraph"/>
        <w:ind w:left="1440"/>
        <w:rPr>
          <w:rtl/>
        </w:rPr>
      </w:pPr>
      <w:r>
        <w:rPr>
          <w:rFonts w:hint="cs"/>
          <w:rtl/>
        </w:rPr>
        <w:t xml:space="preserve"> </w:t>
      </w:r>
    </w:p>
    <w:p w:rsidR="00571D13" w:rsidRDefault="006F7295" w:rsidP="00571D13">
      <w:pPr>
        <w:rPr>
          <w:rtl/>
        </w:rPr>
      </w:pPr>
      <w:r>
        <w:rPr>
          <w:rFonts w:hint="cs"/>
          <w:b/>
          <w:bCs/>
          <w:rtl/>
        </w:rPr>
        <w:t xml:space="preserve"> </w:t>
      </w:r>
    </w:p>
    <w:p w:rsidR="00571D13" w:rsidRPr="00571D13" w:rsidRDefault="00571D13" w:rsidP="00571D13"/>
    <w:p w:rsidR="00630898" w:rsidRDefault="00630898" w:rsidP="00630898">
      <w:pPr>
        <w:pStyle w:val="ListParagraph"/>
        <w:rPr>
          <w:b/>
          <w:bCs/>
          <w:rtl/>
        </w:rPr>
      </w:pPr>
    </w:p>
    <w:p w:rsidR="00630898" w:rsidRPr="00630898" w:rsidRDefault="00630898" w:rsidP="00630898">
      <w:pPr>
        <w:pStyle w:val="ListParagraph"/>
        <w:rPr>
          <w:rtl/>
        </w:rPr>
      </w:pPr>
    </w:p>
    <w:p w:rsidR="00BB592D" w:rsidRPr="00E6483F" w:rsidRDefault="00BB592D" w:rsidP="00220C21">
      <w:pPr>
        <w:rPr>
          <w:b/>
          <w:bCs/>
          <w:sz w:val="28"/>
          <w:szCs w:val="28"/>
          <w:rtl/>
        </w:rPr>
      </w:pPr>
    </w:p>
    <w:p w:rsidR="008B7096" w:rsidRDefault="008B7096" w:rsidP="00220C21"/>
    <w:sectPr w:rsidR="008B7096" w:rsidSect="00D526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8D"/>
    <w:multiLevelType w:val="hybridMultilevel"/>
    <w:tmpl w:val="9656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C60"/>
    <w:multiLevelType w:val="hybridMultilevel"/>
    <w:tmpl w:val="8CE4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71D12"/>
    <w:multiLevelType w:val="hybridMultilevel"/>
    <w:tmpl w:val="E8327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3639B7"/>
    <w:multiLevelType w:val="hybridMultilevel"/>
    <w:tmpl w:val="64FEF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D3BFC"/>
    <w:multiLevelType w:val="hybridMultilevel"/>
    <w:tmpl w:val="960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9FA"/>
    <w:multiLevelType w:val="hybridMultilevel"/>
    <w:tmpl w:val="E38C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BB592D"/>
    <w:rsid w:val="00014167"/>
    <w:rsid w:val="00076C3D"/>
    <w:rsid w:val="000872CC"/>
    <w:rsid w:val="00095103"/>
    <w:rsid w:val="001917EC"/>
    <w:rsid w:val="001B0A2B"/>
    <w:rsid w:val="001B1C04"/>
    <w:rsid w:val="00220C21"/>
    <w:rsid w:val="00222E1A"/>
    <w:rsid w:val="00292A5F"/>
    <w:rsid w:val="002D60DF"/>
    <w:rsid w:val="00383E02"/>
    <w:rsid w:val="003A3A7C"/>
    <w:rsid w:val="003F1D10"/>
    <w:rsid w:val="00404568"/>
    <w:rsid w:val="00415F2C"/>
    <w:rsid w:val="004741ED"/>
    <w:rsid w:val="00483252"/>
    <w:rsid w:val="005160B9"/>
    <w:rsid w:val="00527082"/>
    <w:rsid w:val="00571D13"/>
    <w:rsid w:val="005B14D3"/>
    <w:rsid w:val="005D0899"/>
    <w:rsid w:val="00630898"/>
    <w:rsid w:val="006772C7"/>
    <w:rsid w:val="006A1B98"/>
    <w:rsid w:val="006E486E"/>
    <w:rsid w:val="006F7295"/>
    <w:rsid w:val="00714085"/>
    <w:rsid w:val="00760CAC"/>
    <w:rsid w:val="007C3B5C"/>
    <w:rsid w:val="008501BA"/>
    <w:rsid w:val="00893BB9"/>
    <w:rsid w:val="008A13D3"/>
    <w:rsid w:val="008B7096"/>
    <w:rsid w:val="0090245F"/>
    <w:rsid w:val="00927296"/>
    <w:rsid w:val="00984623"/>
    <w:rsid w:val="009E511C"/>
    <w:rsid w:val="00A154CA"/>
    <w:rsid w:val="00A252A4"/>
    <w:rsid w:val="00A3083C"/>
    <w:rsid w:val="00A93178"/>
    <w:rsid w:val="00AA4595"/>
    <w:rsid w:val="00AF5997"/>
    <w:rsid w:val="00B551EB"/>
    <w:rsid w:val="00B65E5A"/>
    <w:rsid w:val="00B73A64"/>
    <w:rsid w:val="00B8682C"/>
    <w:rsid w:val="00BA1663"/>
    <w:rsid w:val="00BA5619"/>
    <w:rsid w:val="00BB592D"/>
    <w:rsid w:val="00C1659B"/>
    <w:rsid w:val="00C43C44"/>
    <w:rsid w:val="00C9295E"/>
    <w:rsid w:val="00CB1EE0"/>
    <w:rsid w:val="00CD05D7"/>
    <w:rsid w:val="00CD1DA8"/>
    <w:rsid w:val="00CD7D47"/>
    <w:rsid w:val="00CE6733"/>
    <w:rsid w:val="00D02EBB"/>
    <w:rsid w:val="00D52655"/>
    <w:rsid w:val="00D77CD7"/>
    <w:rsid w:val="00D90D59"/>
    <w:rsid w:val="00DC4EFA"/>
    <w:rsid w:val="00DE49A0"/>
    <w:rsid w:val="00E566FB"/>
    <w:rsid w:val="00F32FDA"/>
    <w:rsid w:val="00F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2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8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9862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82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2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ulty.washington.edu/aschiff/PNLA-WLAPresentation.ppt" TargetMode="External"/><Relationship Id="rId18" Type="http://schemas.openxmlformats.org/officeDocument/2006/relationships/hyperlink" Target="http://faculty.washington.edu/aschiff/ALCTSWebinarPart2-WithNotes.pdf" TargetMode="External"/><Relationship Id="rId26" Type="http://schemas.openxmlformats.org/officeDocument/2006/relationships/hyperlink" Target="http://faculty.washington.edu/aschiff/OCLCPresentation-Part2-WithNotes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aculty.washington.edu/aschiff/AkLAPresentation.ppt" TargetMode="External"/><Relationship Id="rId34" Type="http://schemas.openxmlformats.org/officeDocument/2006/relationships/hyperlink" Target="http://faculty.washington.edu/aschiff/OLA2012Presentation-Part2-WithNotes.pdf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faculty.washington.edu/aschif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aschiff/PNLA-WLAPresentation.pdf" TargetMode="External"/><Relationship Id="rId20" Type="http://schemas.openxmlformats.org/officeDocument/2006/relationships/hyperlink" Target="http://faculty.washington.edu/aschiff/ALCTSWebinarPart1.ppt" TargetMode="External"/><Relationship Id="rId29" Type="http://schemas.openxmlformats.org/officeDocument/2006/relationships/hyperlink" Target="http://faculty.washington.edu/aschiff/OCLCPresentation-Part1.ppt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aculty.washington.edu/aschiff/OLA2012Presentation-Part1.ppt" TargetMode="External"/><Relationship Id="rId24" Type="http://schemas.openxmlformats.org/officeDocument/2006/relationships/hyperlink" Target="http://faculty.washington.edu/aschiff/Conversion%20of%20the%20AACR2%20Authority%20File%20to%20RDA.pptx" TargetMode="External"/><Relationship Id="rId32" Type="http://schemas.openxmlformats.org/officeDocument/2006/relationships/hyperlink" Target="http://faculty.washington.edu/aschiff/ALCTSWebinarPart1-WithNotes.pdf" TargetMode="External"/><Relationship Id="rId37" Type="http://schemas.openxmlformats.org/officeDocument/2006/relationships/hyperlink" Target="http://faculty.washington.edu/aschiff/AkLAPresentation-WithNotes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culty.washington.edu/aschiff/LACONIPresentation-Part1.ppt" TargetMode="External"/><Relationship Id="rId23" Type="http://schemas.openxmlformats.org/officeDocument/2006/relationships/hyperlink" Target="http://faculty.washington.edu/aschiff/AJLPresentation.ppt" TargetMode="External"/><Relationship Id="rId28" Type="http://schemas.openxmlformats.org/officeDocument/2006/relationships/hyperlink" Target="http://faculty.washington.edu/aschiff/OCLCPresentation-Part1-WithNotes.pdf" TargetMode="External"/><Relationship Id="rId36" Type="http://schemas.openxmlformats.org/officeDocument/2006/relationships/hyperlink" Target="http://faculty.washington.edu/aschiff/OLA2012Presentation-Part1-WithNotes.pdf" TargetMode="External"/><Relationship Id="rId10" Type="http://schemas.openxmlformats.org/officeDocument/2006/relationships/hyperlink" Target="http://faculty.washington.edu/aschiff/UW2012Presentation-Part2-Notes.pdf" TargetMode="External"/><Relationship Id="rId19" Type="http://schemas.openxmlformats.org/officeDocument/2006/relationships/hyperlink" Target="http://faculty.washington.edu/aschiff/WLMA-WALEPresentation.ppt" TargetMode="External"/><Relationship Id="rId31" Type="http://schemas.openxmlformats.org/officeDocument/2006/relationships/hyperlink" Target="http://faculty.washington.edu/aschiff/OLAPresentation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washington.edu/aschiff/LACONIPresentation-Part1-WithNotes.pdf" TargetMode="External"/><Relationship Id="rId14" Type="http://schemas.openxmlformats.org/officeDocument/2006/relationships/hyperlink" Target="http://faculty.washington.edu/aschiff/UW2012Presentation-Part1-Notes.pdf" TargetMode="External"/><Relationship Id="rId22" Type="http://schemas.openxmlformats.org/officeDocument/2006/relationships/hyperlink" Target="http://faculty.washington.edu/aschiff/AJLPresentationWithNotes.pdf" TargetMode="External"/><Relationship Id="rId27" Type="http://schemas.openxmlformats.org/officeDocument/2006/relationships/hyperlink" Target="http://faculty.washington.edu/aschiff/ALCTSWebinarPart2.ppt" TargetMode="External"/><Relationship Id="rId30" Type="http://schemas.openxmlformats.org/officeDocument/2006/relationships/hyperlink" Target="http://faculty.washington.edu/aschiff/LACONIPresentation-Part2.ppt" TargetMode="External"/><Relationship Id="rId35" Type="http://schemas.openxmlformats.org/officeDocument/2006/relationships/hyperlink" Target="http://faculty.washington.edu/aschiff/BCLAPresentation.ppt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://faculty.washington.edu/aschiff/WLMA-WALEPresentation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faculty.washington.edu/aschiff/OLAPresentationWithNotes.pdf" TargetMode="External"/><Relationship Id="rId17" Type="http://schemas.openxmlformats.org/officeDocument/2006/relationships/hyperlink" Target="http://faculty.washington.edu/aschiff/OCLCPresentation-Part2.ppt" TargetMode="External"/><Relationship Id="rId25" Type="http://schemas.openxmlformats.org/officeDocument/2006/relationships/hyperlink" Target="http://faculty.washington.edu/aschiff/LACONIPresentation-Part2-WithNotes.pdf" TargetMode="External"/><Relationship Id="rId33" Type="http://schemas.openxmlformats.org/officeDocument/2006/relationships/hyperlink" Target="http://faculty.washington.edu/aschiff/OLA2012Presentation-Part2.ppt" TargetMode="External"/><Relationship Id="rId38" Type="http://schemas.openxmlformats.org/officeDocument/2006/relationships/hyperlink" Target="http://faculty.washington.edu/aschiff/BCLAPresentationWithNotes-RevMay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6F07E-CEB8-48EF-890C-4558F6198186}"/>
</file>

<file path=customXml/itemProps2.xml><?xml version="1.0" encoding="utf-8"?>
<ds:datastoreItem xmlns:ds="http://schemas.openxmlformats.org/officeDocument/2006/customXml" ds:itemID="{2636779E-CB0B-48A8-A5CD-F823F169270F}"/>
</file>

<file path=customXml/itemProps3.xml><?xml version="1.0" encoding="utf-8"?>
<ds:datastoreItem xmlns:ds="http://schemas.openxmlformats.org/officeDocument/2006/customXml" ds:itemID="{323070C6-88C4-45E3-BD72-0EA70E1DEF7A}"/>
</file>

<file path=customXml/itemProps4.xml><?xml version="1.0" encoding="utf-8"?>
<ds:datastoreItem xmlns:ds="http://schemas.openxmlformats.org/officeDocument/2006/customXml" ds:itemID="{133A0242-6A83-4818-9F4D-F37073621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1441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rinig</dc:creator>
  <cp:keywords/>
  <dc:description/>
  <cp:lastModifiedBy>rinig</cp:lastModifiedBy>
  <cp:revision>4</cp:revision>
  <dcterms:created xsi:type="dcterms:W3CDTF">2012-11-07T08:45:00Z</dcterms:created>
  <dcterms:modified xsi:type="dcterms:W3CDTF">2012-11-08T06:35:00Z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