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2D" w:rsidRDefault="00BB592D" w:rsidP="00220C21">
      <w:pPr>
        <w:rPr>
          <w:b/>
          <w:bCs/>
          <w:sz w:val="28"/>
          <w:szCs w:val="28"/>
          <w:rtl/>
        </w:rPr>
      </w:pPr>
      <w:r w:rsidRPr="00543F39">
        <w:rPr>
          <w:rFonts w:hint="cs"/>
          <w:b/>
          <w:bCs/>
          <w:sz w:val="28"/>
          <w:szCs w:val="28"/>
          <w:rtl/>
        </w:rPr>
        <w:t>פרוטוקול ישיבת תת הוועדה הארצית לקיטלוג</w:t>
      </w:r>
      <w:r>
        <w:rPr>
          <w:rFonts w:hint="cs"/>
          <w:b/>
          <w:bCs/>
          <w:rtl/>
        </w:rPr>
        <w:t xml:space="preserve"> </w:t>
      </w:r>
      <w:r>
        <w:rPr>
          <w:rFonts w:hint="cs"/>
          <w:b/>
          <w:bCs/>
          <w:sz w:val="28"/>
          <w:szCs w:val="28"/>
          <w:rtl/>
        </w:rPr>
        <w:t>(27.02.2012, ירושלים)</w:t>
      </w:r>
    </w:p>
    <w:p w:rsidR="00BB592D" w:rsidRDefault="00BB592D" w:rsidP="00220C21">
      <w:pPr>
        <w:rPr>
          <w:b/>
          <w:bCs/>
          <w:sz w:val="28"/>
          <w:szCs w:val="28"/>
          <w:rtl/>
        </w:rPr>
      </w:pPr>
    </w:p>
    <w:p w:rsidR="00BB592D" w:rsidRDefault="00BB592D" w:rsidP="00220C21">
      <w:pPr>
        <w:rPr>
          <w:rtl/>
        </w:rPr>
      </w:pPr>
      <w:r>
        <w:rPr>
          <w:rFonts w:hint="cs"/>
          <w:rtl/>
        </w:rPr>
        <w:t xml:space="preserve">נוכחים: לאורה מולוקנדוב, חיים סימור, </w:t>
      </w:r>
      <w:r w:rsidR="00927296">
        <w:rPr>
          <w:rFonts w:hint="cs"/>
          <w:rtl/>
        </w:rPr>
        <w:t xml:space="preserve">רוחמה ברגמן, </w:t>
      </w:r>
      <w:r>
        <w:rPr>
          <w:rFonts w:hint="cs"/>
          <w:rtl/>
        </w:rPr>
        <w:t>פרח שליט, אילונה גילר, אירינה רוסקין, רחל ויצמן, ירדנה לוינברג, אירנה ברוזגטלד, בלהה סירקוס, ורדית נצר-דורף, יוליה סומונוב, רותי שטנגר,  דורית בן-דרור, תמר טוב,</w:t>
      </w:r>
      <w:r w:rsidRPr="00BB592D">
        <w:rPr>
          <w:rFonts w:hint="cs"/>
          <w:rtl/>
        </w:rPr>
        <w:t xml:space="preserve"> </w:t>
      </w:r>
      <w:r>
        <w:rPr>
          <w:rFonts w:hint="cs"/>
          <w:rtl/>
        </w:rPr>
        <w:t>תמר בלומנדל-לינק, קרול פוקס, פרידה הדר, אידה להט, גולדה סוויד מאירה הראש,</w:t>
      </w:r>
      <w:r w:rsidR="00927296">
        <w:rPr>
          <w:rFonts w:hint="cs"/>
          <w:rtl/>
        </w:rPr>
        <w:t xml:space="preserve"> שונית דגני,</w:t>
      </w:r>
      <w:r>
        <w:rPr>
          <w:rFonts w:hint="cs"/>
          <w:rtl/>
        </w:rPr>
        <w:t xml:space="preserve"> יניב לוי, שחף הגפני, אלחנן אדלר</w:t>
      </w:r>
      <w:r w:rsidR="00927296">
        <w:rPr>
          <w:rFonts w:hint="cs"/>
          <w:rtl/>
        </w:rPr>
        <w:t>,</w:t>
      </w:r>
      <w:r>
        <w:rPr>
          <w:rFonts w:hint="cs"/>
          <w:rtl/>
        </w:rPr>
        <w:t xml:space="preserve"> ריני גולדסמית.</w:t>
      </w:r>
    </w:p>
    <w:p w:rsidR="008B7096" w:rsidRDefault="008B7096" w:rsidP="00220C21">
      <w:pPr>
        <w:rPr>
          <w:rtl/>
        </w:rPr>
      </w:pPr>
    </w:p>
    <w:p w:rsidR="008B7096" w:rsidRPr="00220C21" w:rsidRDefault="008B7096" w:rsidP="00220C21">
      <w:pPr>
        <w:pStyle w:val="ListParagraph"/>
        <w:numPr>
          <w:ilvl w:val="0"/>
          <w:numId w:val="1"/>
        </w:numPr>
        <w:rPr>
          <w:b/>
          <w:bCs/>
          <w:u w:val="single"/>
        </w:rPr>
      </w:pPr>
      <w:r w:rsidRPr="00220C21">
        <w:rPr>
          <w:rFonts w:hint="cs"/>
          <w:b/>
          <w:bCs/>
          <w:u w:val="single"/>
          <w:rtl/>
        </w:rPr>
        <w:t>איחוד זהויות לרשומה אחת: אישים</w:t>
      </w:r>
    </w:p>
    <w:p w:rsidR="008B7096" w:rsidRDefault="008B7096" w:rsidP="00220C21">
      <w:pPr>
        <w:pStyle w:val="ListParagraph"/>
        <w:rPr>
          <w:rtl/>
        </w:rPr>
      </w:pPr>
      <w:r>
        <w:rPr>
          <w:rFonts w:hint="cs"/>
          <w:rtl/>
        </w:rPr>
        <w:t xml:space="preserve">יניב לוי, ראש אגף התהליכים בספרייה הלאומית הציג פרויקט לאיחוד זהויות אישים לרשומה אחת. </w:t>
      </w:r>
      <w:r w:rsidR="00CD1DA8">
        <w:rPr>
          <w:rFonts w:hint="cs"/>
          <w:rtl/>
        </w:rPr>
        <w:t>היתרון לשיטה</w:t>
      </w:r>
      <w:r w:rsidR="00F32FDA">
        <w:rPr>
          <w:rFonts w:hint="cs"/>
          <w:rtl/>
        </w:rPr>
        <w:t>:</w:t>
      </w:r>
      <w:r w:rsidR="00CD1DA8">
        <w:rPr>
          <w:rFonts w:hint="cs"/>
          <w:rtl/>
        </w:rPr>
        <w:t xml:space="preserve"> </w:t>
      </w:r>
      <w:r w:rsidR="00F32FDA">
        <w:rPr>
          <w:rFonts w:hint="cs"/>
          <w:rtl/>
        </w:rPr>
        <w:t xml:space="preserve"> אפשרות לקבל בחיפוש אחת תוצאות בכל השפות .</w:t>
      </w:r>
    </w:p>
    <w:p w:rsidR="001917EC" w:rsidRPr="001917EC" w:rsidRDefault="001917EC" w:rsidP="00220C21">
      <w:pPr>
        <w:pStyle w:val="ListParagraph"/>
        <w:rPr>
          <w:b/>
          <w:bCs/>
          <w:rtl/>
        </w:rPr>
      </w:pPr>
      <w:r w:rsidRPr="001917EC">
        <w:rPr>
          <w:rFonts w:hint="cs"/>
          <w:b/>
          <w:bCs/>
          <w:rtl/>
        </w:rPr>
        <w:t xml:space="preserve">העיקרון: </w:t>
      </w:r>
    </w:p>
    <w:p w:rsidR="001917EC" w:rsidRDefault="001917EC" w:rsidP="00220C21">
      <w:pPr>
        <w:pStyle w:val="ListParagraph"/>
        <w:numPr>
          <w:ilvl w:val="0"/>
          <w:numId w:val="2"/>
        </w:numPr>
        <w:rPr>
          <w:rtl/>
        </w:rPr>
      </w:pPr>
      <w:r>
        <w:rPr>
          <w:rFonts w:hint="cs"/>
          <w:rtl/>
        </w:rPr>
        <w:t xml:space="preserve">יוצרים </w:t>
      </w:r>
      <w:r w:rsidR="00BA1663">
        <w:rPr>
          <w:rFonts w:hint="cs"/>
          <w:rtl/>
        </w:rPr>
        <w:t>ברשומ</w:t>
      </w:r>
      <w:r w:rsidR="00DE49A0">
        <w:rPr>
          <w:rFonts w:hint="cs"/>
          <w:rtl/>
        </w:rPr>
        <w:t>ת זהות</w:t>
      </w:r>
      <w:r w:rsidR="00BA1663">
        <w:rPr>
          <w:rFonts w:hint="cs"/>
          <w:rtl/>
        </w:rPr>
        <w:t xml:space="preserve"> אחת </w:t>
      </w:r>
      <w:r w:rsidR="00DE49A0">
        <w:rPr>
          <w:rFonts w:hint="cs"/>
          <w:rtl/>
        </w:rPr>
        <w:t xml:space="preserve">עם </w:t>
      </w:r>
      <w:r>
        <w:rPr>
          <w:rFonts w:hint="cs"/>
          <w:rtl/>
        </w:rPr>
        <w:t xml:space="preserve">עיולים ראשיים לכל </w:t>
      </w:r>
      <w:r w:rsidR="00BA1663">
        <w:rPr>
          <w:rFonts w:hint="cs"/>
          <w:rtl/>
        </w:rPr>
        <w:t>השפות (אות עברית, לטינית, קירילית וערבית).</w:t>
      </w:r>
      <w:r>
        <w:rPr>
          <w:rFonts w:hint="cs"/>
          <w:rtl/>
        </w:rPr>
        <w:t xml:space="preserve"> </w:t>
      </w:r>
      <w:r w:rsidR="00BA1663">
        <w:rPr>
          <w:rFonts w:hint="cs"/>
          <w:rtl/>
        </w:rPr>
        <w:t xml:space="preserve">מוסיפים לכל שדה, </w:t>
      </w:r>
      <w:r w:rsidR="00BA1663">
        <w:t>1xx</w:t>
      </w:r>
      <w:r w:rsidR="00BA1663">
        <w:rPr>
          <w:rFonts w:hint="cs"/>
          <w:rtl/>
        </w:rPr>
        <w:t xml:space="preserve">, </w:t>
      </w:r>
      <w:r w:rsidR="00BA1663">
        <w:t>4XX</w:t>
      </w:r>
      <w:r w:rsidR="00BA1663">
        <w:rPr>
          <w:rFonts w:hint="cs"/>
          <w:rtl/>
        </w:rPr>
        <w:t xml:space="preserve">, </w:t>
      </w:r>
      <w:r w:rsidR="00BA1663">
        <w:t>5XX</w:t>
      </w:r>
      <w:r w:rsidR="00BA1663">
        <w:rPr>
          <w:rFonts w:hint="cs"/>
          <w:rtl/>
        </w:rPr>
        <w:t>,</w:t>
      </w:r>
      <w:r>
        <w:rPr>
          <w:rFonts w:hint="cs"/>
          <w:rtl/>
        </w:rPr>
        <w:t xml:space="preserve"> תת-שדה </w:t>
      </w:r>
      <w:r>
        <w:t>$$9</w:t>
      </w:r>
      <w:r>
        <w:rPr>
          <w:rFonts w:hint="cs"/>
          <w:rtl/>
        </w:rPr>
        <w:t xml:space="preserve"> </w:t>
      </w:r>
      <w:r w:rsidR="00220C21">
        <w:rPr>
          <w:rFonts w:hint="cs"/>
          <w:rtl/>
        </w:rPr>
        <w:t>ומקדדים בו את השפה</w:t>
      </w:r>
      <w:r w:rsidR="00DE49A0">
        <w:rPr>
          <w:rFonts w:hint="cs"/>
          <w:rtl/>
        </w:rPr>
        <w:t xml:space="preserve"> (</w:t>
      </w:r>
      <w:r w:rsidR="00DE49A0">
        <w:t>eng/heb/ara/rus</w:t>
      </w:r>
      <w:r w:rsidR="00DE49A0">
        <w:rPr>
          <w:rFonts w:hint="cs"/>
          <w:rtl/>
        </w:rPr>
        <w:t xml:space="preserve"> </w:t>
      </w:r>
      <w:r w:rsidR="00DE49A0">
        <w:rPr>
          <w:rtl/>
        </w:rPr>
        <w:t>–</w:t>
      </w:r>
      <w:r w:rsidR="00DE49A0">
        <w:rPr>
          <w:rFonts w:hint="cs"/>
          <w:rtl/>
        </w:rPr>
        <w:t xml:space="preserve"> בעצם הכתב ולא השפה)</w:t>
      </w:r>
      <w:r>
        <w:rPr>
          <w:rFonts w:hint="cs"/>
          <w:rtl/>
        </w:rPr>
        <w:t>.</w:t>
      </w:r>
      <w:r w:rsidR="00D77CD7">
        <w:rPr>
          <w:rFonts w:hint="cs"/>
          <w:rtl/>
        </w:rPr>
        <w:t xml:space="preserve"> הצורה הזאת מופיעה גם ברשומות הביבליוגרפיות</w:t>
      </w:r>
      <w:r w:rsidR="00DE49A0">
        <w:rPr>
          <w:rFonts w:hint="cs"/>
          <w:rtl/>
        </w:rPr>
        <w:t xml:space="preserve"> אם כי הקורא לא יראה את תת-השדה 9</w:t>
      </w:r>
      <w:r w:rsidR="00D77CD7">
        <w:rPr>
          <w:rFonts w:hint="cs"/>
          <w:rtl/>
        </w:rPr>
        <w:t>.</w:t>
      </w:r>
      <w:r w:rsidR="00FE091E">
        <w:rPr>
          <w:rFonts w:hint="cs"/>
          <w:rtl/>
        </w:rPr>
        <w:t xml:space="preserve"> תת-השדה </w:t>
      </w:r>
      <w:r w:rsidR="00BA1663">
        <w:rPr>
          <w:rFonts w:hint="cs"/>
          <w:rtl/>
        </w:rPr>
        <w:t>מוצג</w:t>
      </w:r>
      <w:r w:rsidR="00FE091E">
        <w:rPr>
          <w:rFonts w:hint="cs"/>
          <w:rtl/>
        </w:rPr>
        <w:t xml:space="preserve"> במפתחות ב-</w:t>
      </w:r>
      <w:r w:rsidR="00FE091E">
        <w:t>GUI</w:t>
      </w:r>
      <w:r w:rsidR="00FE091E">
        <w:rPr>
          <w:rFonts w:hint="cs"/>
          <w:rtl/>
        </w:rPr>
        <w:t xml:space="preserve"> אבל לא ב-</w:t>
      </w:r>
      <w:r w:rsidR="00FE091E">
        <w:t>OPAC</w:t>
      </w:r>
      <w:r w:rsidR="00FE091E">
        <w:rPr>
          <w:rFonts w:hint="cs"/>
          <w:rtl/>
        </w:rPr>
        <w:t>.</w:t>
      </w:r>
    </w:p>
    <w:p w:rsidR="001917EC" w:rsidRDefault="001917EC" w:rsidP="00DE49A0">
      <w:pPr>
        <w:pStyle w:val="ListParagraph"/>
        <w:numPr>
          <w:ilvl w:val="0"/>
          <w:numId w:val="2"/>
        </w:numPr>
      </w:pPr>
      <w:r>
        <w:rPr>
          <w:rFonts w:hint="cs"/>
          <w:rtl/>
        </w:rPr>
        <w:t xml:space="preserve">לחיצה על </w:t>
      </w:r>
      <w:r>
        <w:t>F3</w:t>
      </w:r>
      <w:r>
        <w:rPr>
          <w:rFonts w:hint="cs"/>
          <w:rtl/>
        </w:rPr>
        <w:t xml:space="preserve"> ימשוך את הצורה המתאימה לפי </w:t>
      </w:r>
      <w:r w:rsidR="00DE49A0">
        <w:rPr>
          <w:rFonts w:hint="cs"/>
          <w:rtl/>
        </w:rPr>
        <w:t>הכתיב עם תת-השדה 9.</w:t>
      </w:r>
    </w:p>
    <w:p w:rsidR="00220C21" w:rsidRDefault="00220C21" w:rsidP="00220C21">
      <w:pPr>
        <w:pStyle w:val="ListParagraph"/>
        <w:numPr>
          <w:ilvl w:val="0"/>
          <w:numId w:val="2"/>
        </w:numPr>
      </w:pPr>
      <w:r>
        <w:rPr>
          <w:rFonts w:hint="cs"/>
          <w:rtl/>
        </w:rPr>
        <w:t>לכל עיול מוכרח להיות רשומת זהות</w:t>
      </w:r>
      <w:r w:rsidR="00DE49A0">
        <w:rPr>
          <w:rFonts w:hint="cs"/>
          <w:rtl/>
        </w:rPr>
        <w:t xml:space="preserve"> כדי שהאיחוד יעבוד</w:t>
      </w:r>
    </w:p>
    <w:p w:rsidR="00220C21" w:rsidRDefault="00220C21" w:rsidP="00DE49A0">
      <w:pPr>
        <w:pStyle w:val="ListParagraph"/>
        <w:numPr>
          <w:ilvl w:val="0"/>
          <w:numId w:val="2"/>
        </w:numPr>
      </w:pPr>
      <w:r>
        <w:rPr>
          <w:rFonts w:hint="cs"/>
          <w:rtl/>
        </w:rPr>
        <w:t xml:space="preserve">השיטה לא חוקית על פי כללי </w:t>
      </w:r>
      <w:r>
        <w:t>MARC</w:t>
      </w:r>
      <w:r w:rsidR="00DE49A0">
        <w:rPr>
          <w:rFonts w:hint="cs"/>
          <w:rtl/>
        </w:rPr>
        <w:t xml:space="preserve"> (מותר רק </w:t>
      </w:r>
      <w:r w:rsidR="00DE49A0">
        <w:t>1xx</w:t>
      </w:r>
      <w:r w:rsidR="00DE49A0">
        <w:rPr>
          <w:rFonts w:hint="cs"/>
          <w:rtl/>
        </w:rPr>
        <w:t xml:space="preserve"> אחד)</w:t>
      </w:r>
      <w:r w:rsidR="006E486E">
        <w:rPr>
          <w:rFonts w:hint="cs"/>
          <w:rtl/>
        </w:rPr>
        <w:t>, אבל אקס ליבריס פיתח</w:t>
      </w:r>
      <w:r>
        <w:rPr>
          <w:rFonts w:hint="cs"/>
          <w:rtl/>
        </w:rPr>
        <w:t xml:space="preserve"> את הטכנולוגיה </w:t>
      </w:r>
      <w:r w:rsidR="006E486E">
        <w:rPr>
          <w:rFonts w:hint="cs"/>
          <w:rtl/>
        </w:rPr>
        <w:t>ל</w:t>
      </w:r>
      <w:r>
        <w:rPr>
          <w:rFonts w:hint="cs"/>
          <w:rtl/>
        </w:rPr>
        <w:t>בקשת</w:t>
      </w:r>
      <w:r w:rsidR="006E486E">
        <w:rPr>
          <w:rFonts w:hint="cs"/>
          <w:rtl/>
        </w:rPr>
        <w:t>ן של</w:t>
      </w:r>
      <w:r>
        <w:rPr>
          <w:rFonts w:hint="cs"/>
          <w:rtl/>
        </w:rPr>
        <w:t xml:space="preserve"> ספריות בשוויץ .</w:t>
      </w:r>
      <w:r w:rsidR="006E486E">
        <w:rPr>
          <w:rFonts w:hint="cs"/>
          <w:rtl/>
        </w:rPr>
        <w:t xml:space="preserve">  </w:t>
      </w:r>
      <w:r w:rsidR="006E486E">
        <w:t>MARC</w:t>
      </w:r>
      <w:r w:rsidR="006E486E">
        <w:rPr>
          <w:rFonts w:hint="cs"/>
          <w:rtl/>
        </w:rPr>
        <w:t xml:space="preserve"> תומך בשדות </w:t>
      </w:r>
      <w:r w:rsidR="006E486E">
        <w:t>7XX</w:t>
      </w:r>
      <w:r w:rsidR="00DE49A0">
        <w:rPr>
          <w:rFonts w:hint="cs"/>
          <w:rtl/>
        </w:rPr>
        <w:t xml:space="preserve"> בזהויות בהם רושמים צורת אלטרנטיביות ומקורן </w:t>
      </w:r>
      <w:r w:rsidR="00DE49A0">
        <w:rPr>
          <w:rtl/>
        </w:rPr>
        <w:t>–</w:t>
      </w:r>
      <w:r w:rsidR="00DE49A0">
        <w:rPr>
          <w:rFonts w:hint="cs"/>
          <w:rtl/>
        </w:rPr>
        <w:t xml:space="preserve"> שיטה זאת דורשת בהקשר שלנו ניהול רשומות נפרדות וניהול קישורים ביניהן)</w:t>
      </w:r>
    </w:p>
    <w:p w:rsidR="00220C21" w:rsidRDefault="00220C21" w:rsidP="00220C21">
      <w:pPr>
        <w:pStyle w:val="ListParagraph"/>
        <w:ind w:left="1440"/>
      </w:pPr>
    </w:p>
    <w:p w:rsidR="00FE091E" w:rsidRDefault="00CD1DA8" w:rsidP="00220C21">
      <w:pPr>
        <w:ind w:left="720"/>
        <w:rPr>
          <w:b/>
          <w:bCs/>
          <w:rtl/>
        </w:rPr>
      </w:pPr>
      <w:r w:rsidRPr="00220C21">
        <w:rPr>
          <w:rFonts w:hint="cs"/>
          <w:b/>
          <w:bCs/>
          <w:rtl/>
        </w:rPr>
        <w:t>שאלות</w:t>
      </w:r>
    </w:p>
    <w:p w:rsidR="00220C21" w:rsidRDefault="007C3B5C" w:rsidP="006E486E">
      <w:pPr>
        <w:pStyle w:val="ListParagraph"/>
        <w:numPr>
          <w:ilvl w:val="0"/>
          <w:numId w:val="3"/>
        </w:numPr>
        <w:rPr>
          <w:rtl/>
        </w:rPr>
      </w:pPr>
      <w:r>
        <w:rPr>
          <w:rFonts w:hint="cs"/>
          <w:rtl/>
        </w:rPr>
        <w:t>האם כ</w:t>
      </w:r>
      <w:r w:rsidR="00220C21" w:rsidRPr="00220C21">
        <w:rPr>
          <w:rFonts w:hint="cs"/>
          <w:rtl/>
        </w:rPr>
        <w:t>ל הספריות צריכות</w:t>
      </w:r>
      <w:r w:rsidR="00220C21">
        <w:rPr>
          <w:rFonts w:hint="cs"/>
          <w:rtl/>
        </w:rPr>
        <w:t xml:space="preserve"> לעבוד לפי השיטה הזאת? לא, אבל הספרייה הלאומית מוכנה לעזור לספריות הרוצות לעבור </w:t>
      </w:r>
      <w:r w:rsidR="006E486E">
        <w:rPr>
          <w:rFonts w:hint="cs"/>
          <w:rtl/>
        </w:rPr>
        <w:t>לשיטה.</w:t>
      </w:r>
    </w:p>
    <w:p w:rsidR="006E486E" w:rsidRDefault="006E486E" w:rsidP="006E486E">
      <w:pPr>
        <w:pStyle w:val="ListParagraph"/>
        <w:numPr>
          <w:ilvl w:val="0"/>
          <w:numId w:val="3"/>
        </w:numPr>
      </w:pPr>
      <w:r>
        <w:rPr>
          <w:rFonts w:hint="cs"/>
          <w:rtl/>
        </w:rPr>
        <w:t xml:space="preserve">האם זה ישפיע על </w:t>
      </w:r>
      <w:r>
        <w:t>ULI</w:t>
      </w:r>
      <w:r>
        <w:rPr>
          <w:rFonts w:hint="cs"/>
          <w:rtl/>
        </w:rPr>
        <w:t>? לא.</w:t>
      </w:r>
    </w:p>
    <w:p w:rsidR="00630898" w:rsidRDefault="00630898" w:rsidP="00630898">
      <w:pPr>
        <w:pStyle w:val="ListParagraph"/>
        <w:ind w:left="1440"/>
      </w:pPr>
    </w:p>
    <w:p w:rsidR="006E486E" w:rsidRPr="006772C7" w:rsidRDefault="00630898" w:rsidP="006E486E">
      <w:pPr>
        <w:pStyle w:val="ListParagraph"/>
        <w:numPr>
          <w:ilvl w:val="0"/>
          <w:numId w:val="1"/>
        </w:numPr>
        <w:rPr>
          <w:b/>
          <w:bCs/>
          <w:u w:val="single"/>
        </w:rPr>
      </w:pPr>
      <w:r w:rsidRPr="006772C7">
        <w:rPr>
          <w:rFonts w:hint="cs"/>
          <w:b/>
          <w:bCs/>
          <w:u w:val="single"/>
          <w:rtl/>
        </w:rPr>
        <w:t xml:space="preserve">תרגום </w:t>
      </w:r>
      <w:r w:rsidR="006E486E" w:rsidRPr="006772C7">
        <w:rPr>
          <w:rFonts w:hint="cs"/>
          <w:b/>
          <w:bCs/>
          <w:u w:val="single"/>
          <w:rtl/>
        </w:rPr>
        <w:t xml:space="preserve">נושאי </w:t>
      </w:r>
      <w:r w:rsidR="006E486E" w:rsidRPr="006772C7">
        <w:rPr>
          <w:b/>
          <w:bCs/>
          <w:u w:val="single"/>
        </w:rPr>
        <w:t>LCSH</w:t>
      </w:r>
      <w:r w:rsidR="006E486E" w:rsidRPr="006772C7">
        <w:rPr>
          <w:rFonts w:hint="cs"/>
          <w:b/>
          <w:bCs/>
          <w:u w:val="single"/>
          <w:rtl/>
        </w:rPr>
        <w:t xml:space="preserve"> לעברית</w:t>
      </w:r>
    </w:p>
    <w:p w:rsidR="00571D13" w:rsidRDefault="00571D13" w:rsidP="00571D13">
      <w:pPr>
        <w:pStyle w:val="ListParagraph"/>
        <w:rPr>
          <w:rtl/>
        </w:rPr>
      </w:pPr>
      <w:r>
        <w:rPr>
          <w:rFonts w:hint="cs"/>
          <w:b/>
          <w:bCs/>
          <w:rtl/>
        </w:rPr>
        <w:t>עקרונות:</w:t>
      </w:r>
    </w:p>
    <w:p w:rsidR="00571D13" w:rsidRDefault="00571D13" w:rsidP="00571D13">
      <w:pPr>
        <w:pStyle w:val="ListParagraph"/>
        <w:numPr>
          <w:ilvl w:val="0"/>
          <w:numId w:val="4"/>
        </w:numPr>
        <w:rPr>
          <w:rtl/>
        </w:rPr>
      </w:pPr>
      <w:r>
        <w:rPr>
          <w:rFonts w:hint="cs"/>
          <w:rtl/>
        </w:rPr>
        <w:t>לפי אותו שיטה התואר לעיל.</w:t>
      </w:r>
    </w:p>
    <w:p w:rsidR="006772C7" w:rsidRDefault="00CE6733" w:rsidP="00571D13">
      <w:pPr>
        <w:pStyle w:val="ListParagraph"/>
        <w:numPr>
          <w:ilvl w:val="0"/>
          <w:numId w:val="4"/>
        </w:numPr>
      </w:pPr>
      <w:r>
        <w:rPr>
          <w:rFonts w:hint="cs"/>
          <w:rtl/>
        </w:rPr>
        <w:t xml:space="preserve">ניעזר </w:t>
      </w:r>
      <w:r w:rsidR="00571D13">
        <w:rPr>
          <w:rFonts w:hint="cs"/>
          <w:rtl/>
        </w:rPr>
        <w:t>בתרגומים לעברית של בר-אילן והאוניברסיטה הפתוחה.</w:t>
      </w:r>
    </w:p>
    <w:p w:rsidR="001B0A2B" w:rsidRDefault="006772C7" w:rsidP="008501BA">
      <w:pPr>
        <w:ind w:left="720"/>
        <w:rPr>
          <w:rtl/>
        </w:rPr>
      </w:pPr>
      <w:r w:rsidRPr="001B0A2B">
        <w:rPr>
          <w:rFonts w:hint="cs"/>
          <w:b/>
          <w:bCs/>
          <w:rtl/>
        </w:rPr>
        <w:t>לוח זמנים ליישום הפרויקטים</w:t>
      </w:r>
      <w:r>
        <w:rPr>
          <w:rFonts w:hint="cs"/>
          <w:rtl/>
        </w:rPr>
        <w:t>:</w:t>
      </w:r>
    </w:p>
    <w:p w:rsidR="001B0A2B" w:rsidRDefault="006772C7" w:rsidP="00CE6733">
      <w:pPr>
        <w:ind w:left="720"/>
        <w:rPr>
          <w:rtl/>
        </w:rPr>
      </w:pPr>
      <w:r w:rsidRPr="001B0A2B">
        <w:rPr>
          <w:rFonts w:hint="cs"/>
          <w:u w:val="single"/>
          <w:rtl/>
        </w:rPr>
        <w:t>רמב"י:</w:t>
      </w:r>
      <w:r>
        <w:rPr>
          <w:rFonts w:hint="cs"/>
          <w:rtl/>
        </w:rPr>
        <w:t xml:space="preserve"> </w:t>
      </w:r>
      <w:r w:rsidR="001B0A2B">
        <w:rPr>
          <w:rFonts w:hint="cs"/>
          <w:rtl/>
        </w:rPr>
        <w:t xml:space="preserve">יישום טכנולוגי לאישים ונושאים </w:t>
      </w:r>
      <w:r w:rsidR="00CE6733">
        <w:rPr>
          <w:rFonts w:hint="cs"/>
          <w:rtl/>
        </w:rPr>
        <w:t>בימים הקרובים. איחוד אישים ונושאים (אנגלית+עברית) בהדרגה בחודשים הקרובים.</w:t>
      </w:r>
    </w:p>
    <w:p w:rsidR="00571D13" w:rsidRDefault="001B0A2B" w:rsidP="008501BA">
      <w:pPr>
        <w:ind w:left="720"/>
        <w:rPr>
          <w:rtl/>
        </w:rPr>
      </w:pPr>
      <w:r w:rsidRPr="001B0A2B">
        <w:rPr>
          <w:rFonts w:hint="cs"/>
          <w:u w:val="single"/>
          <w:rtl/>
        </w:rPr>
        <w:t>קטלוג הספרייה הלאומית</w:t>
      </w:r>
      <w:r>
        <w:rPr>
          <w:rFonts w:hint="cs"/>
          <w:rtl/>
        </w:rPr>
        <w:t>: יישום טכנולוגי לזהויות אישים עד יוני 2012 ; נושאים עד סוף אוגוסט 2012.</w:t>
      </w:r>
      <w:r w:rsidR="00CE6733">
        <w:rPr>
          <w:rFonts w:hint="cs"/>
          <w:rtl/>
        </w:rPr>
        <w:t xml:space="preserve"> באיחודי האישים ניעזר באיחוד שנעשה ע"י </w:t>
      </w:r>
      <w:r w:rsidR="00CE6733">
        <w:rPr>
          <w:rFonts w:hint="cs"/>
        </w:rPr>
        <w:t>VIAF</w:t>
      </w:r>
      <w:r w:rsidR="00CE6733">
        <w:rPr>
          <w:rFonts w:hint="cs"/>
          <w:rtl/>
        </w:rPr>
        <w:t>.</w:t>
      </w:r>
    </w:p>
    <w:p w:rsidR="001B0A2B" w:rsidRDefault="001B0A2B" w:rsidP="008501BA">
      <w:pPr>
        <w:ind w:left="720"/>
        <w:rPr>
          <w:rtl/>
        </w:rPr>
      </w:pPr>
      <w:r w:rsidRPr="001B0A2B">
        <w:rPr>
          <w:rFonts w:hint="cs"/>
          <w:u w:val="single"/>
          <w:rtl/>
        </w:rPr>
        <w:t>תרגום</w:t>
      </w:r>
      <w:r>
        <w:rPr>
          <w:rFonts w:hint="cs"/>
          <w:rtl/>
        </w:rPr>
        <w:t xml:space="preserve"> נושאי הליבה של הספרייה הלאומית לעברית : סוף 2012.</w:t>
      </w:r>
    </w:p>
    <w:p w:rsidR="001B0A2B" w:rsidRDefault="001B0A2B" w:rsidP="008501BA">
      <w:pPr>
        <w:ind w:left="720"/>
        <w:rPr>
          <w:b/>
          <w:bCs/>
          <w:rtl/>
        </w:rPr>
      </w:pPr>
      <w:r w:rsidRPr="001B0A2B">
        <w:rPr>
          <w:rFonts w:hint="cs"/>
          <w:b/>
          <w:bCs/>
          <w:rtl/>
        </w:rPr>
        <w:t>בקשות:</w:t>
      </w:r>
    </w:p>
    <w:p w:rsidR="001B0A2B" w:rsidRDefault="001B0A2B" w:rsidP="00CE6733">
      <w:pPr>
        <w:pStyle w:val="ListParagraph"/>
        <w:numPr>
          <w:ilvl w:val="0"/>
          <w:numId w:val="5"/>
        </w:numPr>
        <w:ind w:left="1440"/>
        <w:rPr>
          <w:rtl/>
        </w:rPr>
      </w:pPr>
      <w:r w:rsidRPr="001B0A2B">
        <w:rPr>
          <w:rFonts w:hint="cs"/>
          <w:rtl/>
        </w:rPr>
        <w:lastRenderedPageBreak/>
        <w:t xml:space="preserve">הקמת ועדת היגוי </w:t>
      </w:r>
      <w:r w:rsidR="00CE6733">
        <w:rPr>
          <w:rFonts w:hint="cs"/>
          <w:rtl/>
        </w:rPr>
        <w:t>שתסייע לספרייה הלאומית ב</w:t>
      </w:r>
      <w:r w:rsidRPr="001B0A2B">
        <w:rPr>
          <w:rFonts w:hint="cs"/>
          <w:rtl/>
        </w:rPr>
        <w:t>תרגום הנושאים</w:t>
      </w:r>
      <w:r>
        <w:rPr>
          <w:rFonts w:hint="cs"/>
          <w:rtl/>
        </w:rPr>
        <w:t>: רחל ויצמן (חיפה) וחיים סימור (בר-אילן) התנדבו.</w:t>
      </w:r>
    </w:p>
    <w:p w:rsidR="001B0A2B" w:rsidRDefault="001B0A2B" w:rsidP="008501BA">
      <w:pPr>
        <w:pStyle w:val="ListParagraph"/>
        <w:numPr>
          <w:ilvl w:val="0"/>
          <w:numId w:val="5"/>
        </w:numPr>
        <w:ind w:left="1440"/>
      </w:pPr>
      <w:r>
        <w:rPr>
          <w:rFonts w:hint="cs"/>
          <w:rtl/>
        </w:rPr>
        <w:t>הקמת תת-ועדה לבדיקת נושאים הקשורים לארץ ישראל:</w:t>
      </w:r>
      <w:r w:rsidR="008A13D3" w:rsidRPr="008A13D3">
        <w:rPr>
          <w:rFonts w:hint="cs"/>
          <w:rtl/>
        </w:rPr>
        <w:t xml:space="preserve"> </w:t>
      </w:r>
      <w:r w:rsidR="008A13D3">
        <w:rPr>
          <w:rFonts w:hint="cs"/>
          <w:rtl/>
        </w:rPr>
        <w:t xml:space="preserve">שונית דגני יושבת ראש (הספרייה הלאומית), </w:t>
      </w:r>
      <w:r>
        <w:rPr>
          <w:rFonts w:hint="cs"/>
          <w:rtl/>
        </w:rPr>
        <w:t>אירינה רוסקין (האוניברסיטה העברית)</w:t>
      </w:r>
      <w:r w:rsidR="001B1C04">
        <w:rPr>
          <w:rFonts w:hint="cs"/>
          <w:rtl/>
        </w:rPr>
        <w:t xml:space="preserve">, רחל ויצמן </w:t>
      </w:r>
      <w:r w:rsidR="008A13D3">
        <w:rPr>
          <w:rFonts w:hint="cs"/>
          <w:rtl/>
        </w:rPr>
        <w:t>(חיפה), ירדנה לוינברג (חיפה), רוחמה ברגמן (בר אילן) שחף גפני (מכללת גורדון), לאורה מולוקנדוב</w:t>
      </w:r>
      <w:r w:rsidR="00AA4595">
        <w:rPr>
          <w:rFonts w:hint="cs"/>
          <w:rtl/>
        </w:rPr>
        <w:t xml:space="preserve"> (בן-גוריון) התנדבו.</w:t>
      </w:r>
      <w:r w:rsidR="008A13D3">
        <w:rPr>
          <w:rFonts w:hint="cs"/>
          <w:rtl/>
        </w:rPr>
        <w:t xml:space="preserve"> </w:t>
      </w:r>
    </w:p>
    <w:p w:rsidR="00AA4595" w:rsidRDefault="00AA4595" w:rsidP="00AA4595">
      <w:pPr>
        <w:pStyle w:val="ListParagraph"/>
      </w:pPr>
    </w:p>
    <w:p w:rsidR="00292A5F" w:rsidRDefault="00CD05D7" w:rsidP="00292A5F">
      <w:pPr>
        <w:pStyle w:val="ListParagraph"/>
        <w:numPr>
          <w:ilvl w:val="0"/>
          <w:numId w:val="1"/>
        </w:numPr>
      </w:pPr>
      <w:r>
        <w:rPr>
          <w:rFonts w:hint="cs"/>
          <w:rtl/>
        </w:rPr>
        <w:t xml:space="preserve">שחף הגפני הציג את הנושאים  </w:t>
      </w:r>
      <w:r w:rsidR="00AA4595">
        <w:t>Collective clouds and tags in Primo</w:t>
      </w:r>
      <w:r>
        <w:rPr>
          <w:rFonts w:hint="cs"/>
          <w:rtl/>
        </w:rPr>
        <w:t xml:space="preserve"> וקיטלוג כלי מחקר כפי שזה מתבצע במכללת גורדון.</w:t>
      </w:r>
    </w:p>
    <w:p w:rsidR="003F1D10" w:rsidRDefault="003F1D10" w:rsidP="003F1D10">
      <w:pPr>
        <w:pStyle w:val="ListParagraph"/>
      </w:pPr>
    </w:p>
    <w:p w:rsidR="00292A5F" w:rsidRDefault="00292A5F" w:rsidP="00292A5F">
      <w:pPr>
        <w:pStyle w:val="ListParagraph"/>
        <w:numPr>
          <w:ilvl w:val="0"/>
          <w:numId w:val="1"/>
        </w:numPr>
      </w:pPr>
      <w:r>
        <w:rPr>
          <w:rFonts w:hint="cs"/>
          <w:rtl/>
        </w:rPr>
        <w:t xml:space="preserve">צורת רישום שנת פטירה ללא שנת לידה ברשומות בעברית: נפ' </w:t>
      </w:r>
      <w:r>
        <w:t>$$d</w:t>
      </w:r>
      <w:r>
        <w:rPr>
          <w:rFonts w:hint="cs"/>
          <w:rtl/>
        </w:rPr>
        <w:t>.</w:t>
      </w:r>
    </w:p>
    <w:p w:rsidR="00292A5F" w:rsidRDefault="00292A5F" w:rsidP="00292A5F">
      <w:pPr>
        <w:pStyle w:val="ListParagraph"/>
        <w:rPr>
          <w:rtl/>
        </w:rPr>
      </w:pPr>
    </w:p>
    <w:p w:rsidR="00292A5F" w:rsidRDefault="00292A5F" w:rsidP="00292A5F">
      <w:pPr>
        <w:pStyle w:val="ListParagraph"/>
        <w:numPr>
          <w:ilvl w:val="0"/>
          <w:numId w:val="1"/>
        </w:numPr>
      </w:pPr>
      <w:r>
        <w:rPr>
          <w:rFonts w:hint="cs"/>
          <w:rtl/>
        </w:rPr>
        <w:t xml:space="preserve">צורה סטנדרטית לרישום </w:t>
      </w:r>
      <w:r>
        <w:t>260 $$a [S.l.] : $$b [s.n.]</w:t>
      </w:r>
      <w:r w:rsidR="000872CC">
        <w:rPr>
          <w:rFonts w:hint="cs"/>
          <w:rtl/>
        </w:rPr>
        <w:t xml:space="preserve"> ברשומות באות קירילית וערבית</w:t>
      </w:r>
      <w:r>
        <w:rPr>
          <w:rFonts w:hint="cs"/>
          <w:rtl/>
        </w:rPr>
        <w:t xml:space="preserve">. </w:t>
      </w:r>
    </w:p>
    <w:p w:rsidR="00292A5F" w:rsidRDefault="00292A5F" w:rsidP="00292A5F">
      <w:pPr>
        <w:pStyle w:val="ListParagraph"/>
        <w:rPr>
          <w:rtl/>
        </w:rPr>
      </w:pPr>
      <w:r>
        <w:rPr>
          <w:rFonts w:hint="cs"/>
          <w:rtl/>
        </w:rPr>
        <w:t xml:space="preserve">נא לשלוח לריני את הצורות </w:t>
      </w:r>
      <w:r w:rsidR="00CE6733">
        <w:rPr>
          <w:rFonts w:hint="cs"/>
          <w:rtl/>
        </w:rPr>
        <w:t xml:space="preserve">בקובץ וורד </w:t>
      </w:r>
      <w:r w:rsidR="000872CC">
        <w:rPr>
          <w:rFonts w:hint="cs"/>
          <w:rtl/>
        </w:rPr>
        <w:t>ואולי נוכל להחליט על צורה סטנדרטית.</w:t>
      </w:r>
      <w:r>
        <w:rPr>
          <w:rFonts w:hint="cs"/>
          <w:rtl/>
        </w:rPr>
        <w:t xml:space="preserve"> </w:t>
      </w:r>
    </w:p>
    <w:p w:rsidR="000872CC" w:rsidRDefault="000872CC" w:rsidP="00292A5F">
      <w:pPr>
        <w:pStyle w:val="ListParagraph"/>
        <w:rPr>
          <w:rtl/>
        </w:rPr>
      </w:pPr>
    </w:p>
    <w:p w:rsidR="00292A5F" w:rsidRDefault="003F1D10" w:rsidP="003F1D10">
      <w:pPr>
        <w:pStyle w:val="ListParagraph"/>
        <w:numPr>
          <w:ilvl w:val="0"/>
          <w:numId w:val="1"/>
        </w:numPr>
      </w:pPr>
      <w:r>
        <w:rPr>
          <w:rFonts w:hint="cs"/>
          <w:rtl/>
        </w:rPr>
        <w:t xml:space="preserve">הוחלט להמליץ לאקס ליבריס להפעיל את פעולות העריכה כפי היו בגרסה 18 לעומת כפי שהם בגרסה 20. (קליק ימין לעומת </w:t>
      </w:r>
      <w:r>
        <w:t xml:space="preserve"> </w:t>
      </w:r>
      <w:r>
        <w:rPr>
          <w:rFonts w:hint="cs"/>
          <w:rtl/>
        </w:rPr>
        <w:t xml:space="preserve">קליק ימין + </w:t>
      </w:r>
      <w:r>
        <w:t>shift</w:t>
      </w:r>
      <w:r>
        <w:rPr>
          <w:rFonts w:hint="cs"/>
          <w:rtl/>
        </w:rPr>
        <w:t>).</w:t>
      </w:r>
      <w:r w:rsidR="00893BB9">
        <w:rPr>
          <w:rFonts w:hint="cs"/>
          <w:rtl/>
        </w:rPr>
        <w:t xml:space="preserve"> </w:t>
      </w:r>
    </w:p>
    <w:p w:rsidR="00893BB9" w:rsidRDefault="00893BB9" w:rsidP="00893BB9">
      <w:pPr>
        <w:pStyle w:val="ListParagraph"/>
      </w:pPr>
    </w:p>
    <w:p w:rsidR="003F1D10" w:rsidRDefault="00893BB9" w:rsidP="00CE6733">
      <w:pPr>
        <w:pStyle w:val="ListParagraph"/>
        <w:numPr>
          <w:ilvl w:val="0"/>
          <w:numId w:val="1"/>
        </w:numPr>
      </w:pPr>
      <w:r>
        <w:rPr>
          <w:rFonts w:hint="cs"/>
          <w:rtl/>
        </w:rPr>
        <w:t xml:space="preserve">הוחלט שיש לקטלג  </w:t>
      </w:r>
      <w:r w:rsidR="00CE6733">
        <w:rPr>
          <w:rFonts w:hint="cs"/>
          <w:rtl/>
        </w:rPr>
        <w:t>ספרים אלקטרוניים</w:t>
      </w:r>
      <w:r>
        <w:rPr>
          <w:rFonts w:hint="cs"/>
          <w:rtl/>
        </w:rPr>
        <w:t xml:space="preserve"> ברשומה נפרדת ולא רק להוסיף לינק לרשומת הנייר. אם יש גישה לגרסה האלקטרונית באמצעות שני ספקים, אפשר להוסיף שדה 856 כמה פעמים. (לדוגמא ספר בר השגה גם מן האוניברסיטה הפתוחה וגם מכותר).</w:t>
      </w:r>
    </w:p>
    <w:p w:rsidR="008501BA" w:rsidRDefault="008501BA" w:rsidP="008501BA">
      <w:pPr>
        <w:pStyle w:val="ListParagraph"/>
        <w:rPr>
          <w:rtl/>
        </w:rPr>
      </w:pPr>
    </w:p>
    <w:p w:rsidR="001B0A2B" w:rsidRPr="00404568" w:rsidRDefault="00D90D59" w:rsidP="00404568">
      <w:pPr>
        <w:pStyle w:val="ListParagraph"/>
        <w:numPr>
          <w:ilvl w:val="0"/>
          <w:numId w:val="1"/>
        </w:numPr>
      </w:pPr>
      <w:r>
        <w:t>655 $$a Electronic books</w:t>
      </w:r>
      <w:r>
        <w:rPr>
          <w:rFonts w:hint="cs"/>
          <w:rtl/>
        </w:rPr>
        <w:t xml:space="preserve">: </w:t>
      </w:r>
      <w:r w:rsidR="00B551EB">
        <w:rPr>
          <w:rFonts w:hint="cs"/>
          <w:rtl/>
        </w:rPr>
        <w:t>בדיקה ב-</w:t>
      </w:r>
      <w:r w:rsidR="00B551EB">
        <w:t>OCLC</w:t>
      </w:r>
      <w:r w:rsidR="00B551EB">
        <w:rPr>
          <w:rFonts w:hint="cs"/>
          <w:rtl/>
        </w:rPr>
        <w:t xml:space="preserve"> עולה שספריית הקונגרס משתמשים ב</w:t>
      </w:r>
      <w:r w:rsidR="00404568">
        <w:rPr>
          <w:rFonts w:ascii="Tahoma" w:hAnsi="Tahoma" w:cs="Tahoma"/>
          <w:sz w:val="20"/>
          <w:szCs w:val="20"/>
          <w:rtl/>
        </w:rPr>
        <w:t>ז'אנר</w:t>
      </w:r>
      <w:r w:rsidR="00404568">
        <w:rPr>
          <w:rFonts w:ascii="Tahoma" w:hAnsi="Tahoma" w:cs="Tahoma" w:hint="cs"/>
          <w:sz w:val="20"/>
          <w:szCs w:val="20"/>
          <w:rtl/>
        </w:rPr>
        <w:t xml:space="preserve"> </w:t>
      </w:r>
      <w:r w:rsidR="00404568">
        <w:rPr>
          <w:rFonts w:ascii="Tahoma" w:hAnsi="Tahoma" w:cs="Tahoma"/>
          <w:sz w:val="20"/>
          <w:szCs w:val="20"/>
        </w:rPr>
        <w:t>Electronic books</w:t>
      </w:r>
      <w:r w:rsidR="00404568">
        <w:rPr>
          <w:rFonts w:ascii="Tahoma" w:hAnsi="Tahoma" w:cs="Tahoma" w:hint="cs"/>
          <w:sz w:val="20"/>
          <w:szCs w:val="20"/>
          <w:rtl/>
        </w:rPr>
        <w:t xml:space="preserve">. רוב הספריות בארץ החליטו לא להשתמש </w:t>
      </w:r>
      <w:r w:rsidR="00404568">
        <w:rPr>
          <w:rFonts w:hint="cs"/>
          <w:rtl/>
        </w:rPr>
        <w:t>ב</w:t>
      </w:r>
      <w:r w:rsidR="00404568">
        <w:rPr>
          <w:rFonts w:ascii="Tahoma" w:hAnsi="Tahoma" w:cs="Tahoma"/>
          <w:sz w:val="20"/>
          <w:szCs w:val="20"/>
          <w:rtl/>
        </w:rPr>
        <w:t>ז'אנר</w:t>
      </w:r>
      <w:r w:rsidR="00404568">
        <w:rPr>
          <w:rFonts w:hint="cs"/>
          <w:rtl/>
        </w:rPr>
        <w:t xml:space="preserve"> הזה מכיוון שספר אלקטרוני הוא פורמט ולא </w:t>
      </w:r>
      <w:r w:rsidR="00404568">
        <w:rPr>
          <w:rFonts w:ascii="Tahoma" w:hAnsi="Tahoma" w:cs="Tahoma"/>
          <w:sz w:val="20"/>
          <w:szCs w:val="20"/>
          <w:rtl/>
        </w:rPr>
        <w:t>ז'אנר</w:t>
      </w:r>
      <w:r w:rsidR="00404568">
        <w:rPr>
          <w:rFonts w:ascii="Tahoma" w:hAnsi="Tahoma" w:cs="Tahoma" w:hint="cs"/>
          <w:sz w:val="20"/>
          <w:szCs w:val="20"/>
          <w:rtl/>
        </w:rPr>
        <w:t>. אפשר לקדד את הפן הזה באמצעות שדה 999.</w:t>
      </w:r>
    </w:p>
    <w:p w:rsidR="00404568" w:rsidRDefault="00404568" w:rsidP="00404568">
      <w:pPr>
        <w:pStyle w:val="ListParagraph"/>
        <w:rPr>
          <w:rtl/>
        </w:rPr>
      </w:pPr>
    </w:p>
    <w:p w:rsidR="00404568" w:rsidRDefault="00404568" w:rsidP="00404568">
      <w:pPr>
        <w:pStyle w:val="ListParagraph"/>
        <w:numPr>
          <w:ilvl w:val="0"/>
          <w:numId w:val="1"/>
        </w:numPr>
      </w:pPr>
      <w:r>
        <w:rPr>
          <w:rFonts w:hint="cs"/>
        </w:rPr>
        <w:t>H</w:t>
      </w:r>
      <w:r>
        <w:t>eb-naco discussion regarding Jewish liturgy: addition of nusah to heading</w:t>
      </w:r>
      <w:r>
        <w:rPr>
          <w:rFonts w:hint="cs"/>
          <w:rtl/>
        </w:rPr>
        <w:t>: אף ספרייה לא מוסיפה את הנוסח לעיול.</w:t>
      </w:r>
    </w:p>
    <w:p w:rsidR="00571D13" w:rsidRDefault="00571D13" w:rsidP="00571D13">
      <w:pPr>
        <w:rPr>
          <w:rtl/>
        </w:rPr>
      </w:pPr>
    </w:p>
    <w:p w:rsidR="00571D13" w:rsidRPr="00571D13" w:rsidRDefault="00571D13" w:rsidP="00571D13"/>
    <w:p w:rsidR="00630898" w:rsidRDefault="00630898" w:rsidP="00630898">
      <w:pPr>
        <w:pStyle w:val="ListParagraph"/>
        <w:rPr>
          <w:b/>
          <w:bCs/>
          <w:rtl/>
        </w:rPr>
      </w:pPr>
    </w:p>
    <w:p w:rsidR="00630898" w:rsidRPr="00630898" w:rsidRDefault="00630898" w:rsidP="00630898">
      <w:pPr>
        <w:pStyle w:val="ListParagraph"/>
        <w:rPr>
          <w:rtl/>
        </w:rPr>
      </w:pPr>
    </w:p>
    <w:p w:rsidR="00BB592D" w:rsidRPr="00E6483F" w:rsidRDefault="00BB592D" w:rsidP="00220C21">
      <w:pPr>
        <w:rPr>
          <w:b/>
          <w:bCs/>
          <w:sz w:val="28"/>
          <w:szCs w:val="28"/>
          <w:rtl/>
        </w:rPr>
      </w:pPr>
    </w:p>
    <w:p w:rsidR="008B7096" w:rsidRDefault="008B7096" w:rsidP="00220C21"/>
    <w:sectPr w:rsidR="008B7096" w:rsidSect="00D526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C8D"/>
    <w:multiLevelType w:val="hybridMultilevel"/>
    <w:tmpl w:val="965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71D12"/>
    <w:multiLevelType w:val="hybridMultilevel"/>
    <w:tmpl w:val="E8327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3639B7"/>
    <w:multiLevelType w:val="hybridMultilevel"/>
    <w:tmpl w:val="C8AC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2D3BFC"/>
    <w:multiLevelType w:val="hybridMultilevel"/>
    <w:tmpl w:val="960A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209FA"/>
    <w:multiLevelType w:val="hybridMultilevel"/>
    <w:tmpl w:val="E38C2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2D"/>
    <w:rsid w:val="00076C3D"/>
    <w:rsid w:val="000872CC"/>
    <w:rsid w:val="001917EC"/>
    <w:rsid w:val="001B0A2B"/>
    <w:rsid w:val="001B1C04"/>
    <w:rsid w:val="00220C21"/>
    <w:rsid w:val="00222E1A"/>
    <w:rsid w:val="00292A5F"/>
    <w:rsid w:val="002D60DF"/>
    <w:rsid w:val="003A3A7C"/>
    <w:rsid w:val="003F1D10"/>
    <w:rsid w:val="00404568"/>
    <w:rsid w:val="00415F2C"/>
    <w:rsid w:val="005160B9"/>
    <w:rsid w:val="00571D13"/>
    <w:rsid w:val="00630898"/>
    <w:rsid w:val="006772C7"/>
    <w:rsid w:val="006E486E"/>
    <w:rsid w:val="007C3B5C"/>
    <w:rsid w:val="008501BA"/>
    <w:rsid w:val="00893BB9"/>
    <w:rsid w:val="008A13D3"/>
    <w:rsid w:val="008B7096"/>
    <w:rsid w:val="00927296"/>
    <w:rsid w:val="009E511C"/>
    <w:rsid w:val="00A3083C"/>
    <w:rsid w:val="00AA4595"/>
    <w:rsid w:val="00B551EB"/>
    <w:rsid w:val="00BA1663"/>
    <w:rsid w:val="00BB592D"/>
    <w:rsid w:val="00CD05D7"/>
    <w:rsid w:val="00CD1DA8"/>
    <w:rsid w:val="00CE6733"/>
    <w:rsid w:val="00D52655"/>
    <w:rsid w:val="00D77CD7"/>
    <w:rsid w:val="00D90D59"/>
    <w:rsid w:val="00DE49A0"/>
    <w:rsid w:val="00E566FB"/>
    <w:rsid w:val="00F32FDA"/>
    <w:rsid w:val="00FE091E"/>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2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96"/>
    <w:pPr>
      <w:ind w:left="720"/>
      <w:contextualSpacing/>
    </w:pPr>
  </w:style>
  <w:style w:type="paragraph" w:styleId="BalloonText">
    <w:name w:val="Balloon Text"/>
    <w:basedOn w:val="Normal"/>
    <w:link w:val="BalloonTextChar"/>
    <w:uiPriority w:val="99"/>
    <w:semiHidden/>
    <w:unhideWhenUsed/>
    <w:rsid w:val="00DE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288534">
      <w:bodyDiv w:val="1"/>
      <w:marLeft w:val="0"/>
      <w:marRight w:val="0"/>
      <w:marTop w:val="0"/>
      <w:marBottom w:val="0"/>
      <w:divBdr>
        <w:top w:val="none" w:sz="0" w:space="0" w:color="auto"/>
        <w:left w:val="none" w:sz="0" w:space="0" w:color="auto"/>
        <w:bottom w:val="none" w:sz="0" w:space="0" w:color="auto"/>
        <w:right w:val="none" w:sz="0" w:space="0" w:color="auto"/>
      </w:divBdr>
      <w:divsChild>
        <w:div w:id="1785152411">
          <w:marLeft w:val="0"/>
          <w:marRight w:val="0"/>
          <w:marTop w:val="0"/>
          <w:marBottom w:val="0"/>
          <w:divBdr>
            <w:top w:val="none" w:sz="0" w:space="0" w:color="auto"/>
            <w:left w:val="none" w:sz="0" w:space="0" w:color="auto"/>
            <w:bottom w:val="none" w:sz="0" w:space="0" w:color="auto"/>
            <w:right w:val="none" w:sz="0" w:space="0" w:color="auto"/>
          </w:divBdr>
          <w:divsChild>
            <w:div w:id="87124765">
              <w:marLeft w:val="0"/>
              <w:marRight w:val="0"/>
              <w:marTop w:val="0"/>
              <w:marBottom w:val="0"/>
              <w:divBdr>
                <w:top w:val="none" w:sz="0" w:space="0" w:color="auto"/>
                <w:left w:val="none" w:sz="0" w:space="0" w:color="auto"/>
                <w:bottom w:val="none" w:sz="0" w:space="0" w:color="auto"/>
                <w:right w:val="none" w:sz="0" w:space="0" w:color="auto"/>
              </w:divBdr>
              <w:divsChild>
                <w:div w:id="683363850">
                  <w:marLeft w:val="40"/>
                  <w:marRight w:val="40"/>
                  <w:marTop w:val="0"/>
                  <w:marBottom w:val="0"/>
                  <w:divBdr>
                    <w:top w:val="none" w:sz="0" w:space="0" w:color="auto"/>
                    <w:left w:val="none" w:sz="0" w:space="0" w:color="auto"/>
                    <w:bottom w:val="none" w:sz="0" w:space="0" w:color="auto"/>
                    <w:right w:val="none" w:sz="0" w:space="0" w:color="auto"/>
                  </w:divBdr>
                  <w:divsChild>
                    <w:div w:id="833685956">
                      <w:marLeft w:val="0"/>
                      <w:marRight w:val="0"/>
                      <w:marTop w:val="0"/>
                      <w:marBottom w:val="0"/>
                      <w:divBdr>
                        <w:top w:val="none" w:sz="0" w:space="0" w:color="auto"/>
                        <w:left w:val="none" w:sz="0" w:space="0" w:color="auto"/>
                        <w:bottom w:val="none" w:sz="0" w:space="0" w:color="auto"/>
                        <w:right w:val="none" w:sz="0" w:space="0" w:color="auto"/>
                      </w:divBdr>
                      <w:divsChild>
                        <w:div w:id="1281689862">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C75F444198B0C746A88032C9598EADE0" ma:contentTypeVersion="1" ma:contentTypeDescription="צור מסמך חדש." ma:contentTypeScope="" ma:versionID="4f948c3c4251b982f706f1d5bbb379ff">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EF036-3ED5-44EA-907B-79A1E1B5544E}"/>
</file>

<file path=customXml/itemProps2.xml><?xml version="1.0" encoding="utf-8"?>
<ds:datastoreItem xmlns:ds="http://schemas.openxmlformats.org/officeDocument/2006/customXml" ds:itemID="{CACAF892-7E39-4D0B-BDC3-69A139F97AE8}"/>
</file>

<file path=customXml/itemProps3.xml><?xml version="1.0" encoding="utf-8"?>
<ds:datastoreItem xmlns:ds="http://schemas.openxmlformats.org/officeDocument/2006/customXml" ds:itemID="{D6EA5305-5462-4FA6-B7EA-DED1DE049FC1}"/>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rinig</dc:creator>
  <cp:keywords/>
  <dc:description/>
  <cp:lastModifiedBy>rinig</cp:lastModifiedBy>
  <cp:revision>4</cp:revision>
  <dcterms:created xsi:type="dcterms:W3CDTF">2012-03-01T10:44:00Z</dcterms:created>
  <dcterms:modified xsi:type="dcterms:W3CDTF">2012-03-01T10:49:00Z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0x010100C75F444198B0C746A88032C9598EADE0</vt:lpwstr>
  </property>
  <property fmtid="{D5CDD505-2E9C-101B-9397-08002B2CF9AE}" pid="3" name="Order">
    <vt:r8>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